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4" w:rsidRPr="00915114" w:rsidRDefault="00915114" w:rsidP="00915114">
      <w:pPr>
        <w:jc w:val="center"/>
        <w:rPr>
          <w:rFonts w:ascii="Times New Roman" w:hAnsi="Times New Roman" w:cs="Times New Roman"/>
          <w:b/>
          <w:color w:val="000000" w:themeColor="text1"/>
          <w:sz w:val="28"/>
          <w:lang w:val="en"/>
        </w:rPr>
      </w:pPr>
      <w:r w:rsidRPr="00915114">
        <w:rPr>
          <w:rFonts w:ascii="Times New Roman" w:hAnsi="Times New Roman" w:cs="Times New Roman"/>
          <w:b/>
          <w:color w:val="000000" w:themeColor="text1"/>
          <w:sz w:val="28"/>
          <w:lang w:val="en"/>
        </w:rPr>
        <w:t xml:space="preserve">Shanghai </w:t>
      </w:r>
      <w:proofErr w:type="spellStart"/>
      <w:r w:rsidRPr="00915114">
        <w:rPr>
          <w:rFonts w:ascii="Times New Roman" w:hAnsi="Times New Roman" w:cs="Times New Roman"/>
          <w:b/>
          <w:color w:val="000000" w:themeColor="text1"/>
          <w:sz w:val="28"/>
          <w:lang w:val="en"/>
        </w:rPr>
        <w:t>Putailai</w:t>
      </w:r>
      <w:proofErr w:type="spellEnd"/>
      <w:r w:rsidRPr="00915114">
        <w:rPr>
          <w:rFonts w:ascii="Times New Roman" w:hAnsi="Times New Roman" w:cs="Times New Roman"/>
          <w:b/>
          <w:color w:val="000000" w:themeColor="text1"/>
          <w:sz w:val="28"/>
          <w:lang w:val="en"/>
        </w:rPr>
        <w:t xml:space="preserve"> New Energy Technology Co., Ltd.</w:t>
      </w:r>
    </w:p>
    <w:p w:rsidR="00915114" w:rsidRPr="00915114" w:rsidRDefault="00915114" w:rsidP="00915114">
      <w:pPr>
        <w:jc w:val="center"/>
        <w:rPr>
          <w:rFonts w:ascii="Times New Roman" w:hAnsi="Times New Roman" w:cs="Times New Roman"/>
          <w:b/>
          <w:color w:val="000000" w:themeColor="text1"/>
          <w:sz w:val="28"/>
          <w:lang w:val="en"/>
        </w:rPr>
      </w:pPr>
      <w:r w:rsidRPr="00915114">
        <w:rPr>
          <w:rFonts w:ascii="Times New Roman" w:hAnsi="Times New Roman" w:cs="Times New Roman"/>
          <w:b/>
          <w:color w:val="000000" w:themeColor="text1"/>
          <w:sz w:val="28"/>
          <w:lang w:val="en"/>
        </w:rPr>
        <w:t>2023 Annual Report Summary</w:t>
      </w:r>
    </w:p>
    <w:p w:rsidR="00915114" w:rsidRPr="00915114" w:rsidRDefault="00915114" w:rsidP="00915114">
      <w:pPr>
        <w:keepNext/>
        <w:keepLines/>
        <w:numPr>
          <w:ilvl w:val="1"/>
          <w:numId w:val="1"/>
        </w:numPr>
        <w:spacing w:before="60" w:after="60"/>
        <w:ind w:left="498" w:hangingChars="236" w:hanging="498"/>
        <w:outlineLvl w:val="1"/>
        <w:rPr>
          <w:rFonts w:ascii="Times New Roman" w:eastAsia="宋体" w:hAnsi="Times New Roman" w:cs="Times New Roman"/>
          <w:b/>
          <w:bCs/>
          <w:color w:val="000000" w:themeColor="text1"/>
          <w:szCs w:val="21"/>
          <w:u w:val="single"/>
          <w:lang w:val="en"/>
        </w:rPr>
      </w:pPr>
      <w:bookmarkStart w:id="0" w:name="_Toc342051041"/>
      <w:bookmarkStart w:id="1" w:name="_Toc342565881"/>
      <w:r w:rsidRPr="00915114">
        <w:rPr>
          <w:rFonts w:ascii="Times New Roman" w:eastAsia="宋体" w:hAnsi="Times New Roman" w:cs="Times New Roman"/>
          <w:b/>
          <w:bCs/>
          <w:color w:val="000000" w:themeColor="text1"/>
          <w:szCs w:val="21"/>
          <w:lang w:val="en"/>
        </w:rPr>
        <w:t>Company Information</w:t>
      </w:r>
      <w:bookmarkEnd w:id="0"/>
      <w:bookmarkEnd w:id="1"/>
      <w:r w:rsidRPr="00915114">
        <w:rPr>
          <w:rFonts w:ascii="Times New Roman" w:eastAsia="宋体" w:hAnsi="Times New Roman" w:cs="Times New Roman"/>
          <w:b/>
          <w:bCs/>
          <w:color w:val="000000" w:themeColor="text1"/>
          <w:szCs w:val="21"/>
          <w:lang w:val="en"/>
        </w:rPr>
        <w:t xml:space="preserve"> </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255"/>
        <w:gridCol w:w="5041"/>
      </w:tblGrid>
      <w:tr w:rsidR="00915114" w:rsidRPr="00915114" w:rsidTr="00BF07C3">
        <w:trPr>
          <w:trHeight w:val="293"/>
        </w:trPr>
        <w:tc>
          <w:tcPr>
            <w:tcW w:w="1962" w:type="pct"/>
            <w:tcBorders>
              <w:top w:val="single" w:sz="4" w:space="0" w:color="auto"/>
              <w:bottom w:val="single" w:sz="4" w:space="0" w:color="auto"/>
              <w:right w:val="single" w:sz="4" w:space="0" w:color="auto"/>
            </w:tcBorders>
            <w:shd w:val="clear" w:color="auto" w:fill="auto"/>
            <w:vAlign w:val="center"/>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Name of </w:t>
            </w:r>
            <w:proofErr w:type="spellStart"/>
            <w:r w:rsidRPr="00915114">
              <w:rPr>
                <w:rFonts w:ascii="Times New Roman" w:hAnsi="Times New Roman"/>
                <w:color w:val="000000" w:themeColor="text1"/>
                <w:szCs w:val="21"/>
              </w:rPr>
              <w:t>Putailai</w:t>
            </w:r>
            <w:proofErr w:type="spellEnd"/>
            <w:r w:rsidRPr="00915114">
              <w:rPr>
                <w:rFonts w:ascii="Times New Roman" w:hAnsi="Times New Roman"/>
                <w:color w:val="000000" w:themeColor="text1"/>
              </w:rPr>
              <w:t xml:space="preserve"> </w:t>
            </w:r>
            <w:r w:rsidRPr="00915114">
              <w:rPr>
                <w:rFonts w:ascii="Times New Roman" w:hAnsi="Times New Roman" w:hint="eastAsia"/>
                <w:color w:val="000000" w:themeColor="text1"/>
              </w:rPr>
              <w:t>in</w:t>
            </w:r>
            <w:r w:rsidRPr="00915114">
              <w:rPr>
                <w:rFonts w:ascii="Times New Roman" w:hAnsi="Times New Roman"/>
                <w:color w:val="000000" w:themeColor="text1"/>
              </w:rPr>
              <w:t xml:space="preserve"> Chinese</w:t>
            </w:r>
          </w:p>
        </w:tc>
        <w:tc>
          <w:tcPr>
            <w:tcW w:w="3038"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hint="eastAsia"/>
                <w:color w:val="000000" w:themeColor="text1"/>
                <w:szCs w:val="21"/>
              </w:rPr>
              <w:t>上海璞泰来新能源科技股份有限公司</w:t>
            </w:r>
          </w:p>
        </w:tc>
      </w:tr>
      <w:tr w:rsidR="00915114" w:rsidRPr="00915114" w:rsidTr="00BF07C3">
        <w:trPr>
          <w:trHeight w:val="293"/>
        </w:trPr>
        <w:tc>
          <w:tcPr>
            <w:tcW w:w="1962" w:type="pct"/>
            <w:tcBorders>
              <w:top w:val="single" w:sz="4" w:space="0" w:color="auto"/>
              <w:bottom w:val="single" w:sz="4" w:space="0" w:color="auto"/>
              <w:right w:val="single" w:sz="4" w:space="0" w:color="auto"/>
            </w:tcBorders>
            <w:shd w:val="clear" w:color="auto" w:fill="auto"/>
            <w:vAlign w:val="center"/>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Abbr. of </w:t>
            </w:r>
            <w:proofErr w:type="spellStart"/>
            <w:r w:rsidRPr="00915114">
              <w:rPr>
                <w:rFonts w:ascii="Times New Roman" w:hAnsi="Times New Roman"/>
                <w:color w:val="000000" w:themeColor="text1"/>
                <w:szCs w:val="21"/>
              </w:rPr>
              <w:t>Putailai</w:t>
            </w:r>
            <w:proofErr w:type="spellEnd"/>
            <w:r w:rsidRPr="00915114">
              <w:rPr>
                <w:rFonts w:ascii="Times New Roman" w:hAnsi="Times New Roman"/>
                <w:color w:val="000000" w:themeColor="text1"/>
              </w:rPr>
              <w:t xml:space="preserve"> name in Chinese</w:t>
            </w:r>
            <w:r w:rsidRPr="00915114">
              <w:rPr>
                <w:rFonts w:ascii="Times New Roman" w:hAnsi="Times New Roman" w:hint="eastAsia"/>
                <w:color w:val="000000" w:themeColor="text1"/>
              </w:rPr>
              <w:t xml:space="preserve"> </w:t>
            </w:r>
          </w:p>
        </w:tc>
        <w:tc>
          <w:tcPr>
            <w:tcW w:w="3038"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proofErr w:type="gramStart"/>
            <w:r w:rsidRPr="00915114">
              <w:rPr>
                <w:rFonts w:ascii="Times New Roman" w:hAnsi="Times New Roman" w:hint="eastAsia"/>
                <w:color w:val="000000" w:themeColor="text1"/>
                <w:szCs w:val="21"/>
              </w:rPr>
              <w:t>璞</w:t>
            </w:r>
            <w:proofErr w:type="gramEnd"/>
            <w:r w:rsidRPr="00915114">
              <w:rPr>
                <w:rFonts w:ascii="Times New Roman" w:hAnsi="Times New Roman" w:hint="eastAsia"/>
                <w:color w:val="000000" w:themeColor="text1"/>
                <w:szCs w:val="21"/>
              </w:rPr>
              <w:t>泰来</w:t>
            </w:r>
          </w:p>
        </w:tc>
      </w:tr>
      <w:tr w:rsidR="00915114" w:rsidRPr="00915114" w:rsidTr="00BF07C3">
        <w:trPr>
          <w:trHeight w:val="293"/>
        </w:trPr>
        <w:tc>
          <w:tcPr>
            <w:tcW w:w="1962" w:type="pct"/>
            <w:tcBorders>
              <w:top w:val="single" w:sz="4" w:space="0" w:color="auto"/>
              <w:bottom w:val="single" w:sz="4" w:space="0" w:color="auto"/>
              <w:right w:val="single" w:sz="4" w:space="0" w:color="auto"/>
            </w:tcBorders>
            <w:shd w:val="clear" w:color="auto" w:fill="auto"/>
            <w:vAlign w:val="center"/>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Name</w:t>
            </w:r>
            <w:r w:rsidRPr="00915114">
              <w:rPr>
                <w:rFonts w:ascii="Times New Roman" w:hAnsi="Times New Roman"/>
                <w:color w:val="000000" w:themeColor="text1"/>
              </w:rPr>
              <w:t xml:space="preserve"> </w:t>
            </w:r>
            <w:r w:rsidRPr="00915114">
              <w:rPr>
                <w:rFonts w:ascii="Times New Roman" w:hAnsi="Times New Roman" w:hint="eastAsia"/>
                <w:color w:val="000000" w:themeColor="text1"/>
              </w:rPr>
              <w:t>of</w:t>
            </w:r>
            <w:r w:rsidRPr="00915114">
              <w:rPr>
                <w:rFonts w:ascii="Times New Roman" w:hAnsi="Times New Roman"/>
                <w:color w:val="000000" w:themeColor="text1"/>
              </w:rPr>
              <w:t xml:space="preserve"> </w:t>
            </w:r>
            <w:proofErr w:type="spellStart"/>
            <w:r w:rsidRPr="00915114">
              <w:rPr>
                <w:rFonts w:ascii="Times New Roman" w:hAnsi="Times New Roman"/>
                <w:color w:val="000000" w:themeColor="text1"/>
              </w:rPr>
              <w:t>Putailai</w:t>
            </w:r>
            <w:proofErr w:type="spellEnd"/>
            <w:r w:rsidRPr="00915114">
              <w:rPr>
                <w:rFonts w:ascii="Times New Roman" w:hAnsi="Times New Roman"/>
                <w:color w:val="000000" w:themeColor="text1"/>
              </w:rPr>
              <w:t xml:space="preserve"> in English</w:t>
            </w:r>
          </w:p>
        </w:tc>
        <w:tc>
          <w:tcPr>
            <w:tcW w:w="3038"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rPr>
              <w:t xml:space="preserve">Shanghai </w:t>
            </w:r>
            <w:proofErr w:type="spellStart"/>
            <w:r w:rsidRPr="00915114">
              <w:rPr>
                <w:rFonts w:ascii="Times New Roman" w:hAnsi="Times New Roman"/>
                <w:color w:val="000000" w:themeColor="text1"/>
              </w:rPr>
              <w:t>Putailai</w:t>
            </w:r>
            <w:proofErr w:type="spellEnd"/>
            <w:r w:rsidRPr="00915114">
              <w:rPr>
                <w:rFonts w:ascii="Times New Roman" w:hAnsi="Times New Roman"/>
                <w:color w:val="000000" w:themeColor="text1"/>
              </w:rPr>
              <w:t xml:space="preserve"> New Energy Technology Co., Ltd.</w:t>
            </w:r>
          </w:p>
        </w:tc>
      </w:tr>
      <w:tr w:rsidR="00915114" w:rsidRPr="00915114" w:rsidTr="00BF07C3">
        <w:trPr>
          <w:trHeight w:val="293"/>
        </w:trPr>
        <w:tc>
          <w:tcPr>
            <w:tcW w:w="1962" w:type="pct"/>
            <w:tcBorders>
              <w:top w:val="single" w:sz="4" w:space="0" w:color="auto"/>
              <w:bottom w:val="single" w:sz="4" w:space="0" w:color="auto"/>
              <w:right w:val="single" w:sz="4" w:space="0" w:color="auto"/>
            </w:tcBorders>
            <w:shd w:val="clear" w:color="auto" w:fill="auto"/>
            <w:vAlign w:val="center"/>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Abbr. of </w:t>
            </w:r>
            <w:proofErr w:type="spellStart"/>
            <w:r w:rsidRPr="00915114">
              <w:rPr>
                <w:rFonts w:ascii="Times New Roman" w:hAnsi="Times New Roman"/>
                <w:color w:val="000000" w:themeColor="text1"/>
                <w:szCs w:val="21"/>
              </w:rPr>
              <w:t>Putailai</w:t>
            </w:r>
            <w:proofErr w:type="spellEnd"/>
            <w:r w:rsidRPr="00915114">
              <w:rPr>
                <w:rFonts w:ascii="Times New Roman" w:hAnsi="Times New Roman"/>
                <w:color w:val="000000" w:themeColor="text1"/>
                <w:szCs w:val="21"/>
              </w:rPr>
              <w:t xml:space="preserve"> name</w:t>
            </w:r>
            <w:r w:rsidRPr="00915114">
              <w:rPr>
                <w:rFonts w:ascii="Times New Roman" w:hAnsi="Times New Roman"/>
                <w:color w:val="000000" w:themeColor="text1"/>
              </w:rPr>
              <w:t xml:space="preserve"> in English</w:t>
            </w:r>
            <w:r w:rsidRPr="00915114">
              <w:rPr>
                <w:rFonts w:ascii="Times New Roman" w:hAnsi="Times New Roman" w:hint="eastAsia"/>
                <w:color w:val="000000" w:themeColor="text1"/>
              </w:rPr>
              <w:t xml:space="preserve"> </w:t>
            </w:r>
          </w:p>
        </w:tc>
        <w:tc>
          <w:tcPr>
            <w:tcW w:w="3038"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proofErr w:type="spellStart"/>
            <w:r w:rsidRPr="00915114">
              <w:rPr>
                <w:rFonts w:ascii="Times New Roman" w:hAnsi="Times New Roman"/>
                <w:color w:val="000000" w:themeColor="text1"/>
                <w:szCs w:val="21"/>
              </w:rPr>
              <w:t>Putailai</w:t>
            </w:r>
            <w:proofErr w:type="spellEnd"/>
          </w:p>
        </w:tc>
      </w:tr>
      <w:tr w:rsidR="00915114" w:rsidRPr="00915114" w:rsidTr="00BF07C3">
        <w:trPr>
          <w:trHeight w:val="293"/>
        </w:trPr>
        <w:tc>
          <w:tcPr>
            <w:tcW w:w="1962" w:type="pct"/>
            <w:tcBorders>
              <w:top w:val="single" w:sz="4" w:space="0" w:color="auto"/>
              <w:bottom w:val="single" w:sz="4" w:space="0" w:color="auto"/>
              <w:right w:val="single" w:sz="4" w:space="0" w:color="auto"/>
            </w:tcBorders>
            <w:shd w:val="clear" w:color="auto" w:fill="auto"/>
            <w:vAlign w:val="center"/>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Legal Representative</w:t>
            </w:r>
          </w:p>
        </w:tc>
        <w:tc>
          <w:tcPr>
            <w:tcW w:w="3038"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hint="eastAsia"/>
                <w:color w:val="000000" w:themeColor="text1"/>
                <w:szCs w:val="21"/>
              </w:rPr>
              <w:t>Liang Feng</w:t>
            </w:r>
          </w:p>
        </w:tc>
      </w:tr>
    </w:tbl>
    <w:p w:rsidR="00915114" w:rsidRPr="00915114" w:rsidRDefault="00915114" w:rsidP="00915114">
      <w:pPr>
        <w:rPr>
          <w:rFonts w:ascii="Times New Roman" w:hAnsi="Times New Roman" w:cs="Times New Roman"/>
          <w:color w:val="000000" w:themeColor="text1"/>
          <w:lang w:val="en"/>
        </w:rPr>
      </w:pPr>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88"/>
        <w:gridCol w:w="3543"/>
        <w:gridCol w:w="3765"/>
      </w:tblGrid>
      <w:tr w:rsidR="00915114" w:rsidRPr="00915114" w:rsidTr="00A04AB2">
        <w:tc>
          <w:tcPr>
            <w:tcW w:w="595" w:type="pct"/>
            <w:tcBorders>
              <w:top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p>
        </w:tc>
        <w:tc>
          <w:tcPr>
            <w:tcW w:w="2135" w:type="pct"/>
            <w:tcBorders>
              <w:top w:val="single" w:sz="4" w:space="0" w:color="auto"/>
              <w:left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jc w:val="center"/>
              <w:rPr>
                <w:rFonts w:ascii="Times New Roman" w:hAnsi="Times New Roman"/>
                <w:color w:val="000000" w:themeColor="text1"/>
                <w:szCs w:val="21"/>
              </w:rPr>
            </w:pPr>
            <w:r w:rsidRPr="00915114">
              <w:rPr>
                <w:rFonts w:ascii="Times New Roman" w:hAnsi="Times New Roman"/>
                <w:color w:val="000000" w:themeColor="text1"/>
                <w:szCs w:val="21"/>
              </w:rPr>
              <w:t>Secretary of the Board</w:t>
            </w:r>
          </w:p>
        </w:tc>
        <w:tc>
          <w:tcPr>
            <w:tcW w:w="2269" w:type="pct"/>
            <w:tcBorders>
              <w:top w:val="single" w:sz="4" w:space="0" w:color="auto"/>
              <w:left w:val="single" w:sz="4" w:space="0" w:color="auto"/>
              <w:bottom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jc w:val="center"/>
              <w:rPr>
                <w:rFonts w:ascii="Times New Roman" w:hAnsi="Times New Roman"/>
                <w:color w:val="000000" w:themeColor="text1"/>
                <w:szCs w:val="21"/>
              </w:rPr>
            </w:pPr>
            <w:r w:rsidRPr="00915114">
              <w:rPr>
                <w:rFonts w:ascii="Times New Roman" w:hAnsi="Times New Roman"/>
                <w:color w:val="000000" w:themeColor="text1"/>
                <w:szCs w:val="21"/>
              </w:rPr>
              <w:t xml:space="preserve">Representative for Securities Affairs </w:t>
            </w:r>
          </w:p>
        </w:tc>
      </w:tr>
      <w:tr w:rsidR="00915114" w:rsidRPr="00915114" w:rsidTr="00A04AB2">
        <w:tc>
          <w:tcPr>
            <w:tcW w:w="595" w:type="pct"/>
            <w:tcBorders>
              <w:top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Name</w:t>
            </w:r>
          </w:p>
        </w:tc>
        <w:tc>
          <w:tcPr>
            <w:tcW w:w="2135" w:type="pct"/>
            <w:tcBorders>
              <w:top w:val="single" w:sz="4" w:space="0" w:color="auto"/>
              <w:left w:val="single" w:sz="4" w:space="0" w:color="auto"/>
              <w:bottom w:val="single" w:sz="4" w:space="0" w:color="auto"/>
              <w:right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Han </w:t>
            </w:r>
            <w:proofErr w:type="spellStart"/>
            <w:r w:rsidRPr="00915114">
              <w:rPr>
                <w:rFonts w:ascii="Times New Roman" w:hAnsi="Times New Roman"/>
                <w:color w:val="000000" w:themeColor="text1"/>
                <w:szCs w:val="21"/>
              </w:rPr>
              <w:t>Zhongwei</w:t>
            </w:r>
            <w:proofErr w:type="spellEnd"/>
          </w:p>
        </w:tc>
        <w:tc>
          <w:tcPr>
            <w:tcW w:w="2269"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Zhang </w:t>
            </w:r>
            <w:proofErr w:type="spellStart"/>
            <w:r w:rsidRPr="00915114">
              <w:rPr>
                <w:rFonts w:ascii="Times New Roman" w:hAnsi="Times New Roman"/>
                <w:color w:val="000000" w:themeColor="text1"/>
                <w:szCs w:val="21"/>
              </w:rPr>
              <w:t>Xiaoquan</w:t>
            </w:r>
            <w:proofErr w:type="spellEnd"/>
          </w:p>
        </w:tc>
      </w:tr>
      <w:tr w:rsidR="00915114" w:rsidRPr="00915114" w:rsidTr="00A04AB2">
        <w:tc>
          <w:tcPr>
            <w:tcW w:w="595" w:type="pct"/>
            <w:tcBorders>
              <w:top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Address</w:t>
            </w:r>
          </w:p>
        </w:tc>
        <w:tc>
          <w:tcPr>
            <w:tcW w:w="2135" w:type="pct"/>
            <w:tcBorders>
              <w:top w:val="single" w:sz="4" w:space="0" w:color="auto"/>
              <w:left w:val="single" w:sz="4" w:space="0" w:color="auto"/>
              <w:bottom w:val="single" w:sz="4" w:space="0" w:color="auto"/>
              <w:right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rPr>
              <w:t xml:space="preserve">No. 116, Lane 456, </w:t>
            </w:r>
            <w:proofErr w:type="spellStart"/>
            <w:r w:rsidRPr="00915114">
              <w:rPr>
                <w:rFonts w:ascii="Times New Roman" w:hAnsi="Times New Roman"/>
                <w:color w:val="000000" w:themeColor="text1"/>
              </w:rPr>
              <w:t>Dieqiao</w:t>
            </w:r>
            <w:proofErr w:type="spellEnd"/>
            <w:r w:rsidRPr="00915114">
              <w:rPr>
                <w:rFonts w:ascii="Times New Roman" w:hAnsi="Times New Roman"/>
                <w:color w:val="000000" w:themeColor="text1"/>
              </w:rPr>
              <w:t xml:space="preserve"> Road, </w:t>
            </w:r>
            <w:proofErr w:type="spellStart"/>
            <w:r w:rsidRPr="00915114">
              <w:rPr>
                <w:rFonts w:ascii="Times New Roman" w:hAnsi="Times New Roman"/>
                <w:color w:val="000000" w:themeColor="text1"/>
              </w:rPr>
              <w:t>Pudong</w:t>
            </w:r>
            <w:proofErr w:type="spellEnd"/>
            <w:r w:rsidRPr="00915114">
              <w:rPr>
                <w:rFonts w:ascii="Times New Roman" w:hAnsi="Times New Roman"/>
                <w:color w:val="000000" w:themeColor="text1"/>
              </w:rPr>
              <w:t xml:space="preserve"> New Area, Shanghai</w:t>
            </w:r>
          </w:p>
        </w:tc>
        <w:tc>
          <w:tcPr>
            <w:tcW w:w="2269"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No. 116, Lane 456, </w:t>
            </w:r>
            <w:proofErr w:type="spellStart"/>
            <w:r w:rsidRPr="00915114">
              <w:rPr>
                <w:rFonts w:ascii="Times New Roman" w:hAnsi="Times New Roman"/>
                <w:color w:val="000000" w:themeColor="text1"/>
                <w:szCs w:val="21"/>
              </w:rPr>
              <w:t>Dieqiao</w:t>
            </w:r>
            <w:proofErr w:type="spellEnd"/>
            <w:r w:rsidRPr="00915114">
              <w:rPr>
                <w:rFonts w:ascii="Times New Roman" w:hAnsi="Times New Roman"/>
                <w:color w:val="000000" w:themeColor="text1"/>
                <w:szCs w:val="21"/>
              </w:rPr>
              <w:t xml:space="preserve"> Road, </w:t>
            </w:r>
            <w:proofErr w:type="spellStart"/>
            <w:r w:rsidRPr="00915114">
              <w:rPr>
                <w:rFonts w:ascii="Times New Roman" w:hAnsi="Times New Roman"/>
                <w:color w:val="000000" w:themeColor="text1"/>
                <w:szCs w:val="21"/>
              </w:rPr>
              <w:t>Pudong</w:t>
            </w:r>
            <w:proofErr w:type="spellEnd"/>
            <w:r w:rsidRPr="00915114">
              <w:rPr>
                <w:rFonts w:ascii="Times New Roman" w:hAnsi="Times New Roman"/>
                <w:color w:val="000000" w:themeColor="text1"/>
                <w:szCs w:val="21"/>
              </w:rPr>
              <w:t xml:space="preserve"> New Area, Shanghai</w:t>
            </w:r>
          </w:p>
        </w:tc>
      </w:tr>
      <w:tr w:rsidR="00915114" w:rsidRPr="00915114" w:rsidTr="00A04AB2">
        <w:tc>
          <w:tcPr>
            <w:tcW w:w="595" w:type="pct"/>
            <w:tcBorders>
              <w:top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Tel.</w:t>
            </w:r>
          </w:p>
        </w:tc>
        <w:tc>
          <w:tcPr>
            <w:tcW w:w="2135" w:type="pct"/>
            <w:tcBorders>
              <w:top w:val="single" w:sz="4" w:space="0" w:color="auto"/>
              <w:left w:val="single" w:sz="4" w:space="0" w:color="auto"/>
              <w:bottom w:val="single" w:sz="4" w:space="0" w:color="auto"/>
              <w:right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rPr>
              <w:t>(021) 61902930</w:t>
            </w:r>
          </w:p>
        </w:tc>
        <w:tc>
          <w:tcPr>
            <w:tcW w:w="2269"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rPr>
              <w:t>(021) 61902930</w:t>
            </w:r>
          </w:p>
        </w:tc>
      </w:tr>
      <w:tr w:rsidR="00915114" w:rsidRPr="00915114" w:rsidTr="00A04AB2">
        <w:tc>
          <w:tcPr>
            <w:tcW w:w="595" w:type="pct"/>
            <w:tcBorders>
              <w:top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Fax</w:t>
            </w:r>
          </w:p>
        </w:tc>
        <w:tc>
          <w:tcPr>
            <w:tcW w:w="2135" w:type="pct"/>
            <w:tcBorders>
              <w:top w:val="single" w:sz="4" w:space="0" w:color="auto"/>
              <w:left w:val="single" w:sz="4" w:space="0" w:color="auto"/>
              <w:bottom w:val="single" w:sz="4" w:space="0" w:color="auto"/>
              <w:right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rPr>
              <w:t>(021) 61902908</w:t>
            </w:r>
          </w:p>
        </w:tc>
        <w:tc>
          <w:tcPr>
            <w:tcW w:w="2269"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rPr>
              <w:t>(021) 61902908</w:t>
            </w:r>
          </w:p>
        </w:tc>
      </w:tr>
      <w:tr w:rsidR="00915114" w:rsidRPr="00915114" w:rsidTr="00A04AB2">
        <w:tc>
          <w:tcPr>
            <w:tcW w:w="595" w:type="pct"/>
            <w:tcBorders>
              <w:top w:val="single" w:sz="4" w:space="0" w:color="auto"/>
              <w:bottom w:val="single" w:sz="4" w:space="0" w:color="auto"/>
              <w:right w:val="single" w:sz="4" w:space="0" w:color="auto"/>
            </w:tcBorders>
            <w:shd w:val="clear" w:color="auto" w:fill="auto"/>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E-mail</w:t>
            </w:r>
          </w:p>
        </w:tc>
        <w:tc>
          <w:tcPr>
            <w:tcW w:w="2135" w:type="pct"/>
            <w:tcBorders>
              <w:top w:val="single" w:sz="4" w:space="0" w:color="auto"/>
              <w:left w:val="single" w:sz="4" w:space="0" w:color="auto"/>
              <w:bottom w:val="single" w:sz="4" w:space="0" w:color="auto"/>
              <w:right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IR@putailai.com</w:t>
            </w:r>
          </w:p>
        </w:tc>
        <w:tc>
          <w:tcPr>
            <w:tcW w:w="2269" w:type="pct"/>
            <w:tcBorders>
              <w:top w:val="single" w:sz="4" w:space="0" w:color="auto"/>
              <w:left w:val="single" w:sz="4" w:space="0" w:color="auto"/>
              <w:bottom w:val="single" w:sz="4" w:space="0" w:color="auto"/>
            </w:tcBorders>
          </w:tcPr>
          <w:p w:rsidR="00915114" w:rsidRPr="00915114" w:rsidRDefault="00915114" w:rsidP="00915114">
            <w:pPr>
              <w:kinsoku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IR@putailai.com</w:t>
            </w:r>
          </w:p>
        </w:tc>
      </w:tr>
    </w:tbl>
    <w:p w:rsidR="00915114" w:rsidRPr="00915114" w:rsidRDefault="00915114" w:rsidP="00915114">
      <w:pPr>
        <w:rPr>
          <w:lang w:val="en"/>
        </w:rPr>
      </w:pPr>
    </w:p>
    <w:p w:rsidR="00915114" w:rsidRPr="00915114" w:rsidRDefault="00915114" w:rsidP="00915114">
      <w:pPr>
        <w:keepNext/>
        <w:keepLines/>
        <w:numPr>
          <w:ilvl w:val="1"/>
          <w:numId w:val="1"/>
        </w:numPr>
        <w:spacing w:before="60" w:after="60"/>
        <w:ind w:left="498" w:hangingChars="236" w:hanging="498"/>
        <w:outlineLvl w:val="1"/>
        <w:rPr>
          <w:rFonts w:ascii="Times New Roman" w:eastAsia="宋体" w:hAnsi="Times New Roman" w:cs="Times New Roman"/>
          <w:b/>
          <w:bCs/>
          <w:color w:val="000000" w:themeColor="text1"/>
          <w:szCs w:val="21"/>
          <w:lang w:val="en"/>
        </w:rPr>
      </w:pPr>
      <w:r w:rsidRPr="00915114">
        <w:rPr>
          <w:rFonts w:ascii="Times New Roman" w:eastAsia="宋体" w:hAnsi="Times New Roman" w:cs="Times New Roman"/>
          <w:b/>
          <w:bCs/>
          <w:color w:val="000000" w:themeColor="text1"/>
          <w:szCs w:val="21"/>
          <w:lang w:val="en"/>
        </w:rPr>
        <w:t>Introduction to the Main Business of PTL during the Reporting Period</w:t>
      </w:r>
    </w:p>
    <w:p w:rsidR="00915114" w:rsidRDefault="00D038ED" w:rsidP="00915114">
      <w:pPr>
        <w:ind w:left="420"/>
        <w:rPr>
          <w:rFonts w:ascii="Times New Roman" w:eastAsia="宋体" w:hAnsi="Times New Roman" w:cs="Times New Roman"/>
          <w:b/>
          <w:bCs/>
          <w:color w:val="000000" w:themeColor="text1"/>
          <w:szCs w:val="21"/>
          <w:lang w:val="en"/>
        </w:rPr>
      </w:pPr>
      <w:r>
        <w:rPr>
          <w:rFonts w:ascii="Times New Roman" w:eastAsia="宋体" w:hAnsi="Times New Roman" w:cs="Times New Roman"/>
          <w:b/>
          <w:bCs/>
          <w:color w:val="000000" w:themeColor="text1"/>
          <w:szCs w:val="21"/>
          <w:lang w:val="en"/>
        </w:rPr>
        <w:t>1</w:t>
      </w:r>
      <w:r w:rsidR="00915114">
        <w:rPr>
          <w:rFonts w:ascii="Times New Roman" w:eastAsia="宋体" w:hAnsi="Times New Roman" w:cs="Times New Roman" w:hint="eastAsia"/>
          <w:b/>
          <w:bCs/>
          <w:color w:val="000000" w:themeColor="text1"/>
          <w:szCs w:val="21"/>
          <w:lang w:val="en"/>
        </w:rPr>
        <w:t>、</w:t>
      </w:r>
      <w:r w:rsidR="00915114" w:rsidRPr="00915114">
        <w:rPr>
          <w:rFonts w:ascii="Times New Roman" w:eastAsia="宋体" w:hAnsi="Times New Roman" w:cs="Times New Roman"/>
          <w:b/>
          <w:bCs/>
          <w:color w:val="000000" w:themeColor="text1"/>
          <w:szCs w:val="21"/>
          <w:lang w:val="en"/>
        </w:rPr>
        <w:t>Business Situation of lithium-ion battery industry</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As a platform company for battery materials and process technology solutions, </w:t>
      </w:r>
      <w:r w:rsidR="001004CB">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's products mainly </w:t>
      </w:r>
      <w:r w:rsidR="001004CB">
        <w:rPr>
          <w:rFonts w:ascii="Times New Roman" w:hAnsi="Times New Roman" w:cs="Times New Roman"/>
          <w:color w:val="000000" w:themeColor="text1"/>
          <w:lang w:val="en"/>
        </w:rPr>
        <w:t>cover</w:t>
      </w:r>
      <w:r w:rsidRPr="00915114">
        <w:rPr>
          <w:rFonts w:ascii="Times New Roman" w:hAnsi="Times New Roman" w:cs="Times New Roman"/>
          <w:color w:val="000000" w:themeColor="text1"/>
          <w:lang w:val="en"/>
        </w:rPr>
        <w:t xml:space="preserve"> key materials and automation equipment for lithium-ion batteries, located in the upstream of the lithium-ion battery industry. </w:t>
      </w:r>
      <w:r w:rsidR="001004CB" w:rsidRPr="001004CB">
        <w:rPr>
          <w:rFonts w:ascii="Times New Roman" w:hAnsi="Times New Roman" w:cs="Times New Roman"/>
          <w:color w:val="000000" w:themeColor="text1"/>
          <w:lang w:val="en"/>
        </w:rPr>
        <w:t>Lithium-ion batteries can be divided into three categories: power, consumer, and energy storage, depending</w:t>
      </w:r>
      <w:r w:rsidR="001004CB">
        <w:rPr>
          <w:rFonts w:ascii="Times New Roman" w:hAnsi="Times New Roman" w:cs="Times New Roman"/>
          <w:color w:val="000000" w:themeColor="text1"/>
          <w:lang w:val="en"/>
        </w:rPr>
        <w:t xml:space="preserve"> on their application scenarios</w:t>
      </w:r>
      <w:r w:rsidRPr="00915114">
        <w:rPr>
          <w:rFonts w:ascii="Times New Roman" w:hAnsi="Times New Roman" w:cs="Times New Roman"/>
          <w:color w:val="000000" w:themeColor="text1"/>
          <w:lang w:val="en"/>
        </w:rPr>
        <w:t>:</w:t>
      </w:r>
    </w:p>
    <w:p w:rsidR="00915114" w:rsidRPr="00D038ED" w:rsidRDefault="00D038ED" w:rsidP="00915114">
      <w:pPr>
        <w:spacing w:line="276" w:lineRule="auto"/>
        <w:ind w:firstLineChars="200" w:firstLine="420"/>
        <w:rPr>
          <w:rFonts w:ascii="Times New Roman" w:hAnsi="Times New Roman" w:cs="Times New Roman"/>
          <w:b/>
          <w:color w:val="000000" w:themeColor="text1"/>
          <w:lang w:val="en"/>
        </w:rPr>
      </w:pPr>
      <w:r w:rsidRPr="00D038ED">
        <w:rPr>
          <w:rFonts w:ascii="Times New Roman" w:hAnsi="Times New Roman" w:cs="Times New Roman"/>
          <w:b/>
          <w:color w:val="000000" w:themeColor="text1"/>
          <w:lang w:val="en"/>
        </w:rPr>
        <w:t>a</w:t>
      </w:r>
      <w:r w:rsidRPr="00D038ED">
        <w:rPr>
          <w:rFonts w:ascii="Times New Roman" w:hAnsi="Times New Roman" w:cs="Times New Roman" w:hint="eastAsia"/>
          <w:b/>
          <w:color w:val="000000" w:themeColor="text1"/>
          <w:lang w:val="en"/>
        </w:rPr>
        <w:t>、</w:t>
      </w:r>
      <w:r w:rsidR="00915114" w:rsidRPr="00D038ED">
        <w:rPr>
          <w:rFonts w:ascii="Times New Roman" w:hAnsi="Times New Roman" w:cs="Times New Roman"/>
          <w:b/>
          <w:color w:val="000000" w:themeColor="text1"/>
          <w:lang w:val="en"/>
        </w:rPr>
        <w:t>Power batteries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the domestic market, driven by both policies and </w:t>
      </w:r>
      <w:r w:rsidR="001004CB" w:rsidRPr="001004CB">
        <w:rPr>
          <w:rFonts w:ascii="Times New Roman" w:hAnsi="Times New Roman" w:cs="Times New Roman"/>
          <w:color w:val="000000" w:themeColor="text1"/>
          <w:lang w:val="en"/>
        </w:rPr>
        <w:t>market forces</w:t>
      </w:r>
      <w:r w:rsidRPr="00915114">
        <w:rPr>
          <w:rFonts w:ascii="Times New Roman" w:hAnsi="Times New Roman" w:cs="Times New Roman"/>
          <w:color w:val="000000" w:themeColor="text1"/>
          <w:lang w:val="en"/>
        </w:rPr>
        <w:t xml:space="preserve">, new energy vehicles have gained widespread recognition </w:t>
      </w:r>
      <w:r w:rsidR="001004CB" w:rsidRPr="001004CB">
        <w:rPr>
          <w:rFonts w:ascii="Times New Roman" w:hAnsi="Times New Roman" w:cs="Times New Roman"/>
          <w:color w:val="000000" w:themeColor="text1"/>
          <w:lang w:val="en"/>
        </w:rPr>
        <w:t>consumer recognition</w:t>
      </w:r>
      <w:r w:rsidRPr="00915114">
        <w:rPr>
          <w:rFonts w:ascii="Times New Roman" w:hAnsi="Times New Roman" w:cs="Times New Roman"/>
          <w:color w:val="000000" w:themeColor="text1"/>
          <w:lang w:val="en"/>
        </w:rPr>
        <w:t xml:space="preserve">. According to data from the China Association of Automobile Manufacturers, the penetration rate of new energy vehicles in China reached 31.6% in 2023, </w:t>
      </w:r>
      <w:r w:rsidR="001004CB" w:rsidRPr="001004CB">
        <w:rPr>
          <w:rFonts w:ascii="Times New Roman" w:hAnsi="Times New Roman" w:cs="Times New Roman"/>
          <w:color w:val="000000" w:themeColor="text1"/>
          <w:lang w:val="en"/>
        </w:rPr>
        <w:t>an increase of 5.9</w:t>
      </w:r>
      <w:r w:rsidR="001004CB">
        <w:rPr>
          <w:rFonts w:ascii="Times New Roman" w:hAnsi="Times New Roman" w:cs="Times New Roman"/>
          <w:color w:val="000000" w:themeColor="text1"/>
          <w:lang w:val="en"/>
        </w:rPr>
        <w:t>%</w:t>
      </w:r>
      <w:r w:rsidR="001004CB" w:rsidRPr="001004CB">
        <w:rPr>
          <w:rFonts w:ascii="Times New Roman" w:hAnsi="Times New Roman" w:cs="Times New Roman"/>
          <w:color w:val="000000" w:themeColor="text1"/>
          <w:lang w:val="en"/>
        </w:rPr>
        <w:t xml:space="preserve"> points from 2022</w:t>
      </w:r>
      <w:r w:rsidR="001004CB">
        <w:rPr>
          <w:rFonts w:ascii="Times New Roman" w:hAnsi="Times New Roman" w:cs="Times New Roman"/>
          <w:color w:val="000000" w:themeColor="text1"/>
          <w:lang w:val="en"/>
        </w:rPr>
        <w:t>, and s</w:t>
      </w:r>
      <w:r w:rsidR="001004CB" w:rsidRPr="001004CB">
        <w:rPr>
          <w:rFonts w:ascii="Times New Roman" w:hAnsi="Times New Roman" w:cs="Times New Roman"/>
          <w:color w:val="000000" w:themeColor="text1"/>
          <w:lang w:val="en"/>
        </w:rPr>
        <w:t>ales of new energy vehicles reached 9.495 million units, a year-on-year increase of 37.9%</w:t>
      </w:r>
      <w:r w:rsidRPr="00915114">
        <w:rPr>
          <w:rFonts w:ascii="Times New Roman" w:hAnsi="Times New Roman" w:cs="Times New Roman"/>
          <w:color w:val="000000" w:themeColor="text1"/>
          <w:lang w:val="en"/>
        </w:rPr>
        <w:t xml:space="preserve">, </w:t>
      </w:r>
      <w:r w:rsidR="001004CB">
        <w:rPr>
          <w:rFonts w:ascii="Times New Roman" w:hAnsi="Times New Roman" w:cs="Times New Roman"/>
          <w:color w:val="000000" w:themeColor="text1"/>
          <w:lang w:val="en"/>
        </w:rPr>
        <w:t xml:space="preserve">which is </w:t>
      </w:r>
      <w:r w:rsidRPr="00915114">
        <w:rPr>
          <w:rFonts w:ascii="Times New Roman" w:hAnsi="Times New Roman" w:cs="Times New Roman"/>
          <w:color w:val="000000" w:themeColor="text1"/>
          <w:lang w:val="en"/>
        </w:rPr>
        <w:t>driving the domestic shipment of power batteries to reach 616.3GWh, a year-on-year increase of 32.4%; The cumulative loading capacity reached 387.7GWh, a year-on-year increase of 31.6%. EV</w:t>
      </w:r>
      <w:r w:rsidR="001004CB">
        <w:rPr>
          <w:rFonts w:ascii="Times New Roman" w:hAnsi="Times New Roman" w:cs="Times New Roman"/>
          <w:color w:val="000000" w:themeColor="text1"/>
          <w:lang w:val="en"/>
        </w:rPr>
        <w:t xml:space="preserve"> </w:t>
      </w:r>
      <w:r w:rsidRPr="00915114">
        <w:rPr>
          <w:rFonts w:ascii="Times New Roman" w:hAnsi="Times New Roman" w:cs="Times New Roman"/>
          <w:color w:val="000000" w:themeColor="text1"/>
          <w:lang w:val="en"/>
        </w:rPr>
        <w:t xml:space="preserve">Tank predicts that new energy vehicles will continue to maintain high-speed growth in the future, </w:t>
      </w:r>
      <w:r w:rsidR="00B3531F" w:rsidRPr="00B3531F">
        <w:rPr>
          <w:rFonts w:ascii="Times New Roman" w:hAnsi="Times New Roman" w:cs="Times New Roman"/>
          <w:color w:val="000000" w:themeColor="text1"/>
          <w:lang w:val="en"/>
        </w:rPr>
        <w:t xml:space="preserve">with </w:t>
      </w:r>
      <w:r w:rsidR="00B3531F">
        <w:rPr>
          <w:rFonts w:ascii="Times New Roman" w:hAnsi="Times New Roman" w:cs="Times New Roman"/>
          <w:color w:val="000000" w:themeColor="text1"/>
          <w:lang w:val="en"/>
        </w:rPr>
        <w:t>domestic</w:t>
      </w:r>
      <w:r w:rsidR="00B3531F" w:rsidRPr="00B3531F">
        <w:rPr>
          <w:rFonts w:ascii="Times New Roman" w:hAnsi="Times New Roman" w:cs="Times New Roman"/>
          <w:color w:val="000000" w:themeColor="text1"/>
          <w:lang w:val="en"/>
        </w:rPr>
        <w:t xml:space="preserve"> lithium battery d</w:t>
      </w:r>
      <w:r w:rsidR="00B3531F">
        <w:rPr>
          <w:rFonts w:ascii="Times New Roman" w:hAnsi="Times New Roman" w:cs="Times New Roman"/>
          <w:color w:val="000000" w:themeColor="text1"/>
          <w:lang w:val="en"/>
        </w:rPr>
        <w:t>emand expected to reach 1,532.3</w:t>
      </w:r>
      <w:r w:rsidR="00B3531F" w:rsidRPr="00B3531F">
        <w:rPr>
          <w:rFonts w:ascii="Times New Roman" w:hAnsi="Times New Roman" w:cs="Times New Roman"/>
          <w:color w:val="000000" w:themeColor="text1"/>
          <w:lang w:val="en"/>
        </w:rPr>
        <w:t>GWh by 2030</w:t>
      </w:r>
      <w:r w:rsidRPr="00915114">
        <w:rPr>
          <w:rFonts w:ascii="Times New Roman" w:hAnsi="Times New Roman" w:cs="Times New Roman"/>
          <w:color w:val="000000" w:themeColor="text1"/>
          <w:lang w:val="en"/>
        </w:rPr>
        <w:t>.</w:t>
      </w:r>
    </w:p>
    <w:p w:rsidR="00915114" w:rsidRPr="00915114" w:rsidRDefault="00B3531F" w:rsidP="00915114">
      <w:pPr>
        <w:spacing w:line="276" w:lineRule="auto"/>
        <w:ind w:firstLineChars="200" w:firstLine="420"/>
        <w:rPr>
          <w:rFonts w:ascii="Times New Roman" w:hAnsi="Times New Roman" w:cs="Times New Roman"/>
          <w:color w:val="000000" w:themeColor="text1"/>
          <w:lang w:val="en"/>
        </w:rPr>
      </w:pPr>
      <w:r w:rsidRPr="00B3531F">
        <w:rPr>
          <w:rFonts w:ascii="Times New Roman" w:hAnsi="Times New Roman" w:cs="Times New Roman"/>
          <w:color w:val="000000" w:themeColor="text1"/>
          <w:lang w:val="en"/>
        </w:rPr>
        <w:t>In terms of the international market</w:t>
      </w:r>
      <w:r w:rsidR="00915114" w:rsidRPr="00915114">
        <w:rPr>
          <w:rFonts w:ascii="Times New Roman" w:hAnsi="Times New Roman" w:cs="Times New Roman"/>
          <w:color w:val="000000" w:themeColor="text1"/>
          <w:lang w:val="en"/>
        </w:rPr>
        <w:t xml:space="preserve">, </w:t>
      </w:r>
      <w:r w:rsidRPr="00B3531F">
        <w:rPr>
          <w:rFonts w:ascii="Times New Roman" w:hAnsi="Times New Roman" w:cs="Times New Roman"/>
          <w:color w:val="000000" w:themeColor="text1"/>
          <w:lang w:val="en"/>
        </w:rPr>
        <w:t>the growth of the European new energy vehicle market fell short of expectations in 2023 due to factors such as subsidy policy reductions in countries like Germany.</w:t>
      </w:r>
      <w:r w:rsidRPr="00B3531F">
        <w:t xml:space="preserve"> </w:t>
      </w:r>
      <w:r w:rsidRPr="00B3531F">
        <w:rPr>
          <w:rFonts w:ascii="Times New Roman" w:hAnsi="Times New Roman" w:cs="Times New Roman"/>
          <w:color w:val="000000" w:themeColor="text1"/>
          <w:lang w:val="en"/>
        </w:rPr>
        <w:t>The annual sales reached 2.948 million vehicles</w:t>
      </w:r>
      <w:r w:rsidR="00915114" w:rsidRPr="00915114">
        <w:rPr>
          <w:rFonts w:ascii="Times New Roman" w:hAnsi="Times New Roman" w:cs="Times New Roman"/>
          <w:color w:val="000000" w:themeColor="text1"/>
          <w:lang w:val="en"/>
        </w:rPr>
        <w:t>. However, China's exports of new energy vehicles remain</w:t>
      </w:r>
      <w:r>
        <w:rPr>
          <w:rFonts w:ascii="Times New Roman" w:hAnsi="Times New Roman" w:cs="Times New Roman"/>
          <w:color w:val="000000" w:themeColor="text1"/>
          <w:lang w:val="en"/>
        </w:rPr>
        <w:t>ed</w:t>
      </w:r>
      <w:r w:rsidR="00915114" w:rsidRPr="00915114">
        <w:rPr>
          <w:rFonts w:ascii="Times New Roman" w:hAnsi="Times New Roman" w:cs="Times New Roman"/>
          <w:color w:val="000000" w:themeColor="text1"/>
          <w:lang w:val="en"/>
        </w:rPr>
        <w:t xml:space="preserve"> strong, with a cumulative export of 1.203 million vehicles in 2023, a year-on-year increase of 77.6%. Europe, America, and Southeast Asia remain the main export destinations for China's new energy vehicles and power batteries. </w:t>
      </w:r>
    </w:p>
    <w:p w:rsidR="00915114" w:rsidRPr="00D038ED" w:rsidRDefault="00D038ED" w:rsidP="00915114">
      <w:pPr>
        <w:ind w:left="420"/>
        <w:rPr>
          <w:rFonts w:ascii="Times New Roman" w:eastAsia="宋体" w:hAnsi="Times New Roman" w:cs="Times New Roman"/>
          <w:b/>
          <w:bCs/>
          <w:color w:val="000000" w:themeColor="text1"/>
          <w:szCs w:val="21"/>
          <w:lang w:val="en"/>
        </w:rPr>
      </w:pPr>
      <w:r w:rsidRPr="00D038ED">
        <w:rPr>
          <w:rFonts w:ascii="Times New Roman" w:eastAsia="宋体" w:hAnsi="Times New Roman" w:cs="Times New Roman" w:hint="eastAsia"/>
          <w:b/>
          <w:bCs/>
          <w:color w:val="000000" w:themeColor="text1"/>
          <w:szCs w:val="21"/>
          <w:lang w:val="en"/>
        </w:rPr>
        <w:t>b</w:t>
      </w:r>
      <w:r w:rsidRPr="00D038ED">
        <w:rPr>
          <w:rFonts w:ascii="Times New Roman" w:eastAsia="宋体" w:hAnsi="Times New Roman" w:cs="Times New Roman" w:hint="eastAsia"/>
          <w:b/>
          <w:bCs/>
          <w:color w:val="000000" w:themeColor="text1"/>
          <w:szCs w:val="21"/>
          <w:lang w:val="en"/>
        </w:rPr>
        <w:t>、</w:t>
      </w:r>
      <w:r w:rsidR="00915114" w:rsidRPr="00D038ED">
        <w:rPr>
          <w:rFonts w:ascii="Times New Roman" w:eastAsia="宋体" w:hAnsi="Times New Roman" w:cs="Times New Roman"/>
          <w:b/>
          <w:bCs/>
          <w:color w:val="000000" w:themeColor="text1"/>
          <w:szCs w:val="21"/>
          <w:lang w:val="en"/>
        </w:rPr>
        <w:t>Consumer batteries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lastRenderedPageBreak/>
        <w:t xml:space="preserve">Consumer lithium-ion batteries are mainly </w:t>
      </w:r>
      <w:r w:rsidR="00C43E46" w:rsidRPr="00C43E46">
        <w:rPr>
          <w:rFonts w:ascii="Times New Roman" w:hAnsi="Times New Roman" w:cs="Times New Roman"/>
          <w:color w:val="000000" w:themeColor="text1"/>
          <w:lang w:val="en"/>
        </w:rPr>
        <w:t>applied</w:t>
      </w:r>
      <w:r w:rsidRPr="00915114">
        <w:rPr>
          <w:rFonts w:ascii="Times New Roman" w:hAnsi="Times New Roman" w:cs="Times New Roman"/>
          <w:color w:val="000000" w:themeColor="text1"/>
          <w:lang w:val="en"/>
        </w:rPr>
        <w:t xml:space="preserve"> in digital products such as smartphones, PCs, and tablets. Af</w:t>
      </w:r>
      <w:r w:rsidR="00C43E46">
        <w:rPr>
          <w:rFonts w:ascii="Times New Roman" w:hAnsi="Times New Roman" w:cs="Times New Roman"/>
          <w:color w:val="000000" w:themeColor="text1"/>
          <w:lang w:val="en"/>
        </w:rPr>
        <w:t>fected by factors such as lower-than-</w:t>
      </w:r>
      <w:r w:rsidRPr="00915114">
        <w:rPr>
          <w:rFonts w:ascii="Times New Roman" w:hAnsi="Times New Roman" w:cs="Times New Roman"/>
          <w:color w:val="000000" w:themeColor="text1"/>
          <w:lang w:val="en"/>
        </w:rPr>
        <w:t>expected global economic growth, rising energy and material costs, supply chains</w:t>
      </w:r>
      <w:r w:rsidR="00C43E46">
        <w:rPr>
          <w:rFonts w:ascii="Times New Roman" w:hAnsi="Times New Roman" w:cs="Times New Roman"/>
          <w:color w:val="000000" w:themeColor="text1"/>
          <w:lang w:val="en"/>
        </w:rPr>
        <w:t xml:space="preserve"> </w:t>
      </w:r>
      <w:r w:rsidR="00C43E46" w:rsidRPr="00C43E46">
        <w:rPr>
          <w:rFonts w:ascii="Times New Roman" w:hAnsi="Times New Roman" w:cs="Times New Roman"/>
          <w:color w:val="000000" w:themeColor="text1"/>
          <w:lang w:val="en"/>
        </w:rPr>
        <w:t>instability</w:t>
      </w:r>
      <w:r w:rsidRPr="00915114">
        <w:rPr>
          <w:rFonts w:ascii="Times New Roman" w:hAnsi="Times New Roman" w:cs="Times New Roman"/>
          <w:color w:val="000000" w:themeColor="text1"/>
          <w:lang w:val="en"/>
        </w:rPr>
        <w:t>, and early release of demand for consumer electronic products during the pandemic, the traditional 3C consumer digital market has experienced varying degrees of decline in 2023. According to IDC data, the global smartphone shipment in 2023 was 1.17 billion units, a year-on-year decrease o</w:t>
      </w:r>
      <w:r w:rsidR="00C43E46">
        <w:rPr>
          <w:rFonts w:ascii="Times New Roman" w:hAnsi="Times New Roman" w:cs="Times New Roman"/>
          <w:color w:val="000000" w:themeColor="text1"/>
          <w:lang w:val="en"/>
        </w:rPr>
        <w:t>f 3.2%; The shipment volume of</w:t>
      </w:r>
      <w:r w:rsidRPr="00915114">
        <w:rPr>
          <w:rFonts w:ascii="Times New Roman" w:hAnsi="Times New Roman" w:cs="Times New Roman"/>
          <w:color w:val="000000" w:themeColor="text1"/>
          <w:lang w:val="en"/>
        </w:rPr>
        <w:t xml:space="preserve"> PCs was 295.6 million units, a decrease of approximately 13.9% compared to the same period last year. But with the release of new products from brands such as Apple and Huawei in the second half of the year, the consumer electronics market has shown a recovery trend, with global smartphone shipments reaching 326.1 million units in the fourth quarter, a year-on-year increase of about 8.5%, ending seven consecutive quarters of decline. </w:t>
      </w:r>
      <w:proofErr w:type="spellStart"/>
      <w:r w:rsidRPr="00915114">
        <w:rPr>
          <w:rFonts w:ascii="Times New Roman" w:hAnsi="Times New Roman" w:cs="Times New Roman"/>
          <w:color w:val="000000" w:themeColor="text1"/>
          <w:lang w:val="en"/>
        </w:rPr>
        <w:t>Canalys</w:t>
      </w:r>
      <w:proofErr w:type="spellEnd"/>
      <w:r w:rsidRPr="00915114">
        <w:rPr>
          <w:rFonts w:ascii="Times New Roman" w:hAnsi="Times New Roman" w:cs="Times New Roman"/>
          <w:color w:val="000000" w:themeColor="text1"/>
          <w:lang w:val="en"/>
        </w:rPr>
        <w:t xml:space="preserve"> predicts that the application of AI big models in smartphones and personal PCs is expected to become a new market growth driver from 2024 to 2027.</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July 2023, the National Development and Reform Commission and other departments successively introduced policy support such as "Several Measures to Promote Electronic Product Consumption", and the consumer electronics market in China also stabilized and improved in the second half of the year. According to data released by the China Academy of Information and Communications Technology, the cumulative shipment volume of mobile phones in the Chinese market reached 289 million units in 2023, </w:t>
      </w:r>
      <w:r w:rsidR="007F67E1">
        <w:rPr>
          <w:rFonts w:ascii="Times New Roman" w:hAnsi="Times New Roman" w:cs="Times New Roman"/>
          <w:color w:val="000000" w:themeColor="text1"/>
          <w:lang w:val="en"/>
        </w:rPr>
        <w:t>a year-on-year increase of 6.5%.</w:t>
      </w:r>
      <w:r w:rsidRPr="00915114">
        <w:rPr>
          <w:rFonts w:ascii="Times New Roman" w:hAnsi="Times New Roman" w:cs="Times New Roman"/>
          <w:color w:val="000000" w:themeColor="text1"/>
          <w:lang w:val="en"/>
        </w:rPr>
        <w:t xml:space="preserve"> In December, the shipment volume of domestic brand mobile phones reached 24.554 million units, a year-on-year increase of 11.7%, accounting for 86.8% of the same period's mobile phone shipment volume. The Chinese consumer electronics market is expected to experience a recovery and growth in 2024, which is conducive to the recovery of demand for consumer lithium-ion batteries.</w:t>
      </w:r>
    </w:p>
    <w:p w:rsidR="00915114" w:rsidRPr="00D038ED" w:rsidRDefault="00D038ED" w:rsidP="00915114">
      <w:pPr>
        <w:spacing w:line="276" w:lineRule="auto"/>
        <w:ind w:firstLineChars="200" w:firstLine="420"/>
        <w:rPr>
          <w:rFonts w:ascii="Times New Roman" w:hAnsi="Times New Roman" w:cs="Times New Roman"/>
          <w:b/>
          <w:color w:val="000000" w:themeColor="text1"/>
          <w:lang w:val="en"/>
        </w:rPr>
      </w:pPr>
      <w:r w:rsidRPr="00D038ED">
        <w:rPr>
          <w:rFonts w:ascii="Times New Roman" w:hAnsi="Times New Roman" w:cs="Times New Roman" w:hint="eastAsia"/>
          <w:b/>
          <w:color w:val="000000" w:themeColor="text1"/>
          <w:lang w:val="en"/>
        </w:rPr>
        <w:t>c</w:t>
      </w:r>
      <w:r w:rsidRPr="00D038ED">
        <w:rPr>
          <w:rFonts w:ascii="Times New Roman" w:hAnsi="Times New Roman" w:cs="Times New Roman" w:hint="eastAsia"/>
          <w:b/>
          <w:color w:val="000000" w:themeColor="text1"/>
          <w:lang w:val="en"/>
        </w:rPr>
        <w:t>、</w:t>
      </w:r>
      <w:r w:rsidR="00915114" w:rsidRPr="00D038ED">
        <w:rPr>
          <w:rFonts w:ascii="Times New Roman" w:hAnsi="Times New Roman" w:cs="Times New Roman"/>
          <w:b/>
          <w:color w:val="000000" w:themeColor="text1"/>
          <w:lang w:val="en"/>
        </w:rPr>
        <w:t>Energy storage batteries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Energy storage lithium-ion batteries are currently mainly used in three major </w:t>
      </w:r>
      <w:r w:rsidR="000B3687" w:rsidRPr="000B3687">
        <w:rPr>
          <w:rFonts w:ascii="Times New Roman" w:hAnsi="Times New Roman" w:cs="Times New Roman"/>
          <w:color w:val="000000" w:themeColor="text1"/>
          <w:lang w:val="en"/>
        </w:rPr>
        <w:t>areas</w:t>
      </w:r>
      <w:r w:rsidRPr="00915114">
        <w:rPr>
          <w:rFonts w:ascii="Times New Roman" w:hAnsi="Times New Roman" w:cs="Times New Roman"/>
          <w:color w:val="000000" w:themeColor="text1"/>
          <w:lang w:val="en"/>
        </w:rPr>
        <w:t>: household energy storage, communication base station energy storage, an</w:t>
      </w:r>
      <w:r w:rsidR="000B3687">
        <w:rPr>
          <w:rFonts w:ascii="Times New Roman" w:hAnsi="Times New Roman" w:cs="Times New Roman"/>
          <w:color w:val="000000" w:themeColor="text1"/>
          <w:lang w:val="en"/>
        </w:rPr>
        <w:t>d power system energy storage.</w:t>
      </w:r>
      <w:r w:rsidRPr="00915114">
        <w:rPr>
          <w:rFonts w:ascii="Times New Roman" w:hAnsi="Times New Roman" w:cs="Times New Roman"/>
          <w:color w:val="000000" w:themeColor="text1"/>
          <w:lang w:val="en"/>
        </w:rPr>
        <w:t xml:space="preserve"> According to the National Energy Administration, the newly installed capacity in China in 2023 is about 22.6 million kilowatts, an increase of over 260% compared to the end of 2022; As of the end of 2023, the cumulative installed capacity has reached 31.39 million kilowatts, achieving the new energy storage installation target of the 14th Five Year Plan two years ahead of schedule. Lithium ion batteries still occupy an absolute dominant position in new energy storage, accounting for 97.4% of the newly put into operation energy storage.</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In 2023, due to factors such as the economic downturn in Europe and the decline in electricity prices, the growth rate of global energy storage lithium batteries has slowed down, with a cumu</w:t>
      </w:r>
      <w:r w:rsidR="000B3687">
        <w:rPr>
          <w:rFonts w:ascii="Times New Roman" w:hAnsi="Times New Roman" w:cs="Times New Roman"/>
          <w:color w:val="000000" w:themeColor="text1"/>
          <w:lang w:val="en"/>
        </w:rPr>
        <w:t>lative shipment volume of 224.2</w:t>
      </w:r>
      <w:r w:rsidRPr="00915114">
        <w:rPr>
          <w:rFonts w:ascii="Times New Roman" w:hAnsi="Times New Roman" w:cs="Times New Roman"/>
          <w:color w:val="000000" w:themeColor="text1"/>
          <w:lang w:val="en"/>
        </w:rPr>
        <w:t xml:space="preserve">GWh for the year, a year-on-year increase of 40.74%; The shipment volume of Chinese energy storage </w:t>
      </w:r>
      <w:r w:rsidR="000B3687">
        <w:rPr>
          <w:rFonts w:ascii="Times New Roman" w:hAnsi="Times New Roman" w:cs="Times New Roman"/>
          <w:color w:val="000000" w:themeColor="text1"/>
          <w:lang w:val="en"/>
        </w:rPr>
        <w:t>lithium batteries reached 203.8</w:t>
      </w:r>
      <w:r w:rsidRPr="00915114">
        <w:rPr>
          <w:rFonts w:ascii="Times New Roman" w:hAnsi="Times New Roman" w:cs="Times New Roman"/>
          <w:color w:val="000000" w:themeColor="text1"/>
          <w:lang w:val="en"/>
        </w:rPr>
        <w:t xml:space="preserve">GWh, a year-on-year increase of 58.2%. Electric energy storage lithium batteries still occupy over 80% of the market share, while industrial and commercial energy storage lithium batteries have become the fastest-growing sub sector in 2023. With the intensification of energy crisis and environmental issues, energy storage, </w:t>
      </w:r>
      <w:r w:rsidRPr="00915114">
        <w:rPr>
          <w:rFonts w:ascii="Times New Roman" w:hAnsi="Times New Roman" w:cs="Times New Roman"/>
          <w:color w:val="000000" w:themeColor="text1"/>
          <w:lang w:val="en"/>
        </w:rPr>
        <w:lastRenderedPageBreak/>
        <w:t>as an important way to solve energy consumption, is expected to continue to maintain a long-term positive development trend. Major countries around the world are transitioning towards green and low-carbon energy, which is expected to drive the sustained and rapid development of the new energy storage industry led by lithium batteries. Energy storage lithium battery enterprises with core component supply capabilities and industrial integration advantages are expected to usher in new development opportunities.</w:t>
      </w:r>
    </w:p>
    <w:p w:rsidR="00915114" w:rsidRPr="00915114" w:rsidRDefault="00D038ED" w:rsidP="00915114">
      <w:pPr>
        <w:spacing w:line="276" w:lineRule="auto"/>
        <w:ind w:firstLineChars="200" w:firstLine="420"/>
        <w:rPr>
          <w:rFonts w:ascii="Times New Roman" w:hAnsi="Times New Roman" w:cs="Times New Roman"/>
          <w:b/>
          <w:color w:val="000000" w:themeColor="text1"/>
          <w:lang w:val="en"/>
        </w:rPr>
      </w:pPr>
      <w:r>
        <w:rPr>
          <w:rFonts w:ascii="Times New Roman" w:hAnsi="Times New Roman" w:cs="Times New Roman"/>
          <w:b/>
          <w:color w:val="000000" w:themeColor="text1"/>
          <w:lang w:val="en"/>
        </w:rPr>
        <w:t>2</w:t>
      </w:r>
      <w:r w:rsidR="00915114" w:rsidRPr="00B43690">
        <w:rPr>
          <w:rFonts w:ascii="Times New Roman" w:hAnsi="Times New Roman" w:cs="Times New Roman" w:hint="eastAsia"/>
          <w:b/>
          <w:color w:val="000000" w:themeColor="text1"/>
          <w:lang w:val="en"/>
        </w:rPr>
        <w:t>、</w:t>
      </w:r>
      <w:r w:rsidR="00B43690" w:rsidRPr="00B43690">
        <w:rPr>
          <w:rFonts w:ascii="Times New Roman" w:hAnsi="Times New Roman" w:cs="Times New Roman"/>
          <w:b/>
          <w:color w:val="000000" w:themeColor="text1"/>
          <w:lang w:val="en"/>
        </w:rPr>
        <w:t>Main Business</w:t>
      </w:r>
    </w:p>
    <w:p w:rsidR="00915114" w:rsidRPr="00915114" w:rsidRDefault="00B43690" w:rsidP="00915114">
      <w:pPr>
        <w:spacing w:line="276" w:lineRule="auto"/>
        <w:ind w:firstLineChars="200" w:firstLine="420"/>
        <w:rPr>
          <w:rFonts w:ascii="Times New Roman" w:hAnsi="Times New Roman" w:cs="Times New Roman"/>
          <w:color w:val="000000" w:themeColor="text1"/>
          <w:lang w:val="en"/>
        </w:rPr>
      </w:pPr>
      <w:r>
        <w:rPr>
          <w:rFonts w:ascii="Times New Roman" w:hAnsi="Times New Roman" w:cs="Times New Roman"/>
          <w:color w:val="000000" w:themeColor="text1"/>
          <w:lang w:val="en"/>
        </w:rPr>
        <w:t>PTL’s</w:t>
      </w:r>
      <w:r w:rsidR="00915114" w:rsidRPr="00915114">
        <w:rPr>
          <w:rFonts w:ascii="Times New Roman" w:hAnsi="Times New Roman" w:cs="Times New Roman"/>
          <w:color w:val="000000" w:themeColor="text1"/>
          <w:lang w:val="en"/>
        </w:rPr>
        <w:t xml:space="preserve"> main business covers </w:t>
      </w:r>
      <w:r w:rsidRPr="00B43690">
        <w:rPr>
          <w:rFonts w:ascii="Times New Roman" w:hAnsi="Times New Roman" w:cs="Times New Roman"/>
          <w:color w:val="000000" w:themeColor="text1"/>
          <w:lang w:val="en"/>
        </w:rPr>
        <w:t xml:space="preserve">anode materials, separator and coating, PVDF and binders, composite current collectors, aluminum-plastic packaging films, </w:t>
      </w:r>
      <w:proofErr w:type="spellStart"/>
      <w:r w:rsidRPr="00B43690">
        <w:rPr>
          <w:rFonts w:ascii="Times New Roman" w:hAnsi="Times New Roman" w:cs="Times New Roman"/>
          <w:color w:val="000000" w:themeColor="text1"/>
          <w:lang w:val="en"/>
        </w:rPr>
        <w:t>nano</w:t>
      </w:r>
      <w:proofErr w:type="spellEnd"/>
      <w:r>
        <w:rPr>
          <w:rFonts w:ascii="Times New Roman" w:hAnsi="Times New Roman" w:cs="Times New Roman"/>
          <w:color w:val="000000" w:themeColor="text1"/>
          <w:lang w:val="en"/>
        </w:rPr>
        <w:t xml:space="preserve">-alumina and </w:t>
      </w:r>
      <w:proofErr w:type="spellStart"/>
      <w:r>
        <w:rPr>
          <w:rFonts w:ascii="Times New Roman" w:hAnsi="Times New Roman" w:cs="Times New Roman"/>
          <w:color w:val="000000" w:themeColor="text1"/>
          <w:lang w:val="en"/>
        </w:rPr>
        <w:t>boehmite</w:t>
      </w:r>
      <w:proofErr w:type="spellEnd"/>
      <w:r>
        <w:rPr>
          <w:rFonts w:ascii="Times New Roman" w:hAnsi="Times New Roman" w:cs="Times New Roman"/>
          <w:color w:val="000000" w:themeColor="text1"/>
          <w:lang w:val="en"/>
        </w:rPr>
        <w:t xml:space="preserve"> materials.</w:t>
      </w:r>
      <w:r w:rsidR="00915114" w:rsidRPr="00915114">
        <w:rPr>
          <w:rFonts w:ascii="Times New Roman" w:hAnsi="Times New Roman" w:cs="Times New Roman"/>
          <w:color w:val="000000" w:themeColor="text1"/>
          <w:lang w:val="en"/>
        </w:rPr>
        <w:t xml:space="preserve"> </w:t>
      </w:r>
      <w:r w:rsidRPr="00B43690">
        <w:rPr>
          <w:rFonts w:ascii="Times New Roman" w:hAnsi="Times New Roman" w:cs="Times New Roman"/>
          <w:color w:val="000000" w:themeColor="text1"/>
          <w:lang w:val="en"/>
        </w:rPr>
        <w:t>Meanwhile, we provide services for automated process equipment and intelligent manufacturing systems. Through resource sharing and industrial collaboration among the three major business units of anode material, separator and coatings, and automation equipment, PTL delivers diversified, differentiated, and specialized product combinations and integrati</w:t>
      </w:r>
      <w:r>
        <w:rPr>
          <w:rFonts w:ascii="Times New Roman" w:hAnsi="Times New Roman" w:cs="Times New Roman"/>
          <w:color w:val="000000" w:themeColor="text1"/>
          <w:lang w:val="en"/>
        </w:rPr>
        <w:t>on services to our customers</w:t>
      </w:r>
      <w:r w:rsidR="00915114" w:rsidRPr="00915114">
        <w:rPr>
          <w:rFonts w:ascii="Times New Roman" w:hAnsi="Times New Roman" w:cs="Times New Roman"/>
          <w:color w:val="000000" w:themeColor="text1"/>
          <w:lang w:val="en"/>
        </w:rPr>
        <w:t>.</w:t>
      </w:r>
      <w:r>
        <w:rPr>
          <w:rFonts w:ascii="Times New Roman" w:hAnsi="Times New Roman" w:cs="Times New Roman"/>
          <w:color w:val="000000" w:themeColor="text1"/>
          <w:lang w:val="en"/>
        </w:rPr>
        <w:t xml:space="preserve"> PTL</w:t>
      </w:r>
      <w:r w:rsidR="00915114" w:rsidRPr="00915114">
        <w:rPr>
          <w:rFonts w:ascii="Times New Roman" w:hAnsi="Times New Roman" w:cs="Times New Roman"/>
          <w:color w:val="000000" w:themeColor="text1"/>
          <w:lang w:val="en"/>
        </w:rPr>
        <w:t xml:space="preserve"> provides custome</w:t>
      </w:r>
      <w:r>
        <w:rPr>
          <w:rFonts w:ascii="Times New Roman" w:hAnsi="Times New Roman" w:cs="Times New Roman"/>
          <w:color w:val="000000" w:themeColor="text1"/>
          <w:lang w:val="en"/>
        </w:rPr>
        <w:t>rs with comprehensive solutions t</w:t>
      </w:r>
      <w:r w:rsidRPr="00B43690">
        <w:rPr>
          <w:rFonts w:ascii="Times New Roman" w:hAnsi="Times New Roman" w:cs="Times New Roman"/>
          <w:color w:val="000000" w:themeColor="text1"/>
          <w:lang w:val="en"/>
        </w:rPr>
        <w:t>hrough various business service models</w:t>
      </w:r>
    </w:p>
    <w:p w:rsidR="00915114" w:rsidRPr="00915114" w:rsidRDefault="00D038ED" w:rsidP="00915114">
      <w:pPr>
        <w:spacing w:line="276" w:lineRule="auto"/>
        <w:ind w:firstLineChars="200" w:firstLine="420"/>
        <w:rPr>
          <w:rFonts w:ascii="Times New Roman" w:hAnsi="Times New Roman" w:cs="Times New Roman"/>
          <w:b/>
          <w:color w:val="000000" w:themeColor="text1"/>
          <w:lang w:val="en"/>
        </w:rPr>
      </w:pPr>
      <w:r>
        <w:rPr>
          <w:rFonts w:ascii="Times New Roman" w:hAnsi="Times New Roman" w:cs="Times New Roman"/>
          <w:b/>
          <w:color w:val="000000" w:themeColor="text1"/>
          <w:lang w:val="en"/>
        </w:rPr>
        <w:t>3</w:t>
      </w:r>
      <w:r w:rsidR="00915114" w:rsidRPr="00B43690">
        <w:rPr>
          <w:rFonts w:ascii="Times New Roman" w:hAnsi="Times New Roman" w:cs="Times New Roman" w:hint="eastAsia"/>
          <w:b/>
          <w:color w:val="000000" w:themeColor="text1"/>
          <w:lang w:val="en"/>
        </w:rPr>
        <w:t>、</w:t>
      </w:r>
      <w:r w:rsidR="00B43690" w:rsidRPr="00B43690">
        <w:rPr>
          <w:rFonts w:ascii="Times New Roman" w:hAnsi="Times New Roman" w:cs="Times New Roman"/>
          <w:b/>
          <w:color w:val="000000" w:themeColor="text1"/>
          <w:lang w:val="en"/>
        </w:rPr>
        <w:t>Business Model</w:t>
      </w:r>
    </w:p>
    <w:p w:rsidR="00915114" w:rsidRPr="00D038ED" w:rsidRDefault="00D038ED" w:rsidP="00915114">
      <w:pPr>
        <w:spacing w:line="276" w:lineRule="auto"/>
        <w:ind w:firstLineChars="200" w:firstLine="420"/>
        <w:rPr>
          <w:rFonts w:ascii="Times New Roman" w:hAnsi="Times New Roman" w:cs="Times New Roman"/>
          <w:b/>
          <w:color w:val="000000" w:themeColor="text1"/>
          <w:lang w:val="en"/>
        </w:rPr>
      </w:pPr>
      <w:r w:rsidRPr="00D038ED">
        <w:rPr>
          <w:rFonts w:ascii="Times New Roman" w:hAnsi="Times New Roman" w:cs="Times New Roman" w:hint="eastAsia"/>
          <w:b/>
          <w:color w:val="000000" w:themeColor="text1"/>
          <w:lang w:val="en"/>
        </w:rPr>
        <w:t>a</w:t>
      </w:r>
      <w:r w:rsidRPr="00D038ED">
        <w:rPr>
          <w:rFonts w:ascii="Times New Roman" w:hAnsi="Times New Roman" w:cs="Times New Roman" w:hint="eastAsia"/>
          <w:b/>
          <w:color w:val="000000" w:themeColor="text1"/>
          <w:lang w:val="en"/>
        </w:rPr>
        <w:t>、</w:t>
      </w:r>
      <w:r w:rsidR="00915114" w:rsidRPr="00D038ED">
        <w:rPr>
          <w:rFonts w:ascii="Times New Roman" w:hAnsi="Times New Roman" w:cs="Times New Roman"/>
          <w:b/>
          <w:color w:val="000000" w:themeColor="text1"/>
          <w:lang w:val="en"/>
        </w:rPr>
        <w:t>Procurement mode</w:t>
      </w:r>
    </w:p>
    <w:p w:rsidR="00915114" w:rsidRPr="00915114" w:rsidRDefault="00C1345F" w:rsidP="00915114">
      <w:pPr>
        <w:spacing w:line="276" w:lineRule="auto"/>
        <w:ind w:firstLineChars="200" w:firstLine="420"/>
        <w:rPr>
          <w:rFonts w:ascii="Times New Roman" w:hAnsi="Times New Roman" w:cs="Times New Roman"/>
          <w:color w:val="000000" w:themeColor="text1"/>
          <w:lang w:val="en"/>
        </w:rPr>
      </w:pPr>
      <w:r>
        <w:rPr>
          <w:rFonts w:ascii="Times New Roman" w:hAnsi="Times New Roman" w:cs="Times New Roman"/>
          <w:color w:val="000000" w:themeColor="text1"/>
          <w:lang w:val="en"/>
        </w:rPr>
        <w:t>PTL currently</w:t>
      </w:r>
      <w:r w:rsidR="00915114" w:rsidRPr="00915114">
        <w:rPr>
          <w:rFonts w:ascii="Times New Roman" w:hAnsi="Times New Roman" w:cs="Times New Roman"/>
          <w:color w:val="000000" w:themeColor="text1"/>
          <w:lang w:val="en"/>
        </w:rPr>
        <w:t xml:space="preserve"> mainly</w:t>
      </w:r>
      <w:r>
        <w:rPr>
          <w:rFonts w:ascii="Times New Roman" w:hAnsi="Times New Roman" w:cs="Times New Roman"/>
          <w:color w:val="000000" w:themeColor="text1"/>
          <w:lang w:val="en"/>
        </w:rPr>
        <w:t xml:space="preserve"> acquires</w:t>
      </w:r>
      <w:r w:rsidR="00915114" w:rsidRPr="00915114">
        <w:rPr>
          <w:rFonts w:ascii="Times New Roman" w:hAnsi="Times New Roman" w:cs="Times New Roman"/>
          <w:color w:val="000000" w:themeColor="text1"/>
          <w:lang w:val="en"/>
        </w:rPr>
        <w:t xml:space="preserve"> raw materials through external procurement, and the procurement departments of each subsidiary are responsible for specific implementation according to their own business needs.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By establishing and continuously improving the procurement management system, </w:t>
      </w:r>
      <w:r w:rsidR="00C1345F">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 considers multidimensional indicators such as supplier research and development capabilities, supplier qualifications, safety performance, quality management, sample design and verification. For supplier capability assessment involving chemicals, strict control is exercised over important indicators such as quality and environmental system certification, MSDS certification, national laboratory certification (CNAS certification), ROHS environmental testing reports, etc., to ensure stable supply of raw materials, and to ensure that purchased materials and their processes meet safety, health,</w:t>
      </w:r>
      <w:r w:rsidR="00C141D1">
        <w:rPr>
          <w:rFonts w:ascii="Times New Roman" w:hAnsi="Times New Roman" w:cs="Times New Roman"/>
          <w:color w:val="000000" w:themeColor="text1"/>
          <w:lang w:val="en"/>
        </w:rPr>
        <w:t xml:space="preserve"> and environmental requirements.</w:t>
      </w:r>
      <w:r w:rsidRPr="00915114">
        <w:rPr>
          <w:rFonts w:ascii="Times New Roman" w:hAnsi="Times New Roman" w:cs="Times New Roman"/>
          <w:color w:val="000000" w:themeColor="text1"/>
          <w:lang w:val="en"/>
        </w:rPr>
        <w:t xml:space="preserve"> For the procurement of standard raw materials and equipment standard parts, </w:t>
      </w:r>
      <w:r w:rsidR="00C1345F">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 conducts selective procurement in accordance with t</w:t>
      </w:r>
      <w:r w:rsidR="00C141D1">
        <w:rPr>
          <w:rFonts w:ascii="Times New Roman" w:hAnsi="Times New Roman" w:cs="Times New Roman"/>
          <w:color w:val="000000" w:themeColor="text1"/>
          <w:lang w:val="en"/>
        </w:rPr>
        <w:t>he standard procurement process.</w:t>
      </w:r>
      <w:r w:rsidRPr="00915114">
        <w:rPr>
          <w:rFonts w:ascii="Times New Roman" w:hAnsi="Times New Roman" w:cs="Times New Roman"/>
          <w:color w:val="000000" w:themeColor="text1"/>
          <w:lang w:val="en"/>
        </w:rPr>
        <w:t xml:space="preserve"> For non-standard parts customized for automation equipment business, </w:t>
      </w:r>
      <w:r w:rsidR="00C141D1">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 will inquire and purchase from qualified suppliers according to design drawings and specific indicators. At the same time, </w:t>
      </w:r>
      <w:r w:rsidR="00C141D1">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 gradually introduces a series of social and environmental indicators in the supplier management process to ensure that the company and suppliers jointly enhance a long-term sustainable strategic partnership.</w:t>
      </w:r>
    </w:p>
    <w:p w:rsidR="00915114" w:rsidRPr="00D038ED" w:rsidRDefault="00D038ED" w:rsidP="00915114">
      <w:pPr>
        <w:spacing w:line="276" w:lineRule="auto"/>
        <w:ind w:firstLineChars="200" w:firstLine="420"/>
        <w:rPr>
          <w:rFonts w:ascii="Times New Roman" w:hAnsi="Times New Roman" w:cs="Times New Roman"/>
          <w:b/>
          <w:color w:val="000000" w:themeColor="text1"/>
          <w:lang w:val="en"/>
        </w:rPr>
      </w:pPr>
      <w:r w:rsidRPr="00D038ED">
        <w:rPr>
          <w:rFonts w:ascii="Times New Roman" w:hAnsi="Times New Roman" w:cs="Times New Roman" w:hint="eastAsia"/>
          <w:b/>
          <w:color w:val="000000" w:themeColor="text1"/>
          <w:lang w:val="en"/>
        </w:rPr>
        <w:t>b</w:t>
      </w:r>
      <w:r w:rsidRPr="00D038ED">
        <w:rPr>
          <w:rFonts w:ascii="Times New Roman" w:hAnsi="Times New Roman" w:cs="Times New Roman" w:hint="eastAsia"/>
          <w:b/>
          <w:color w:val="000000" w:themeColor="text1"/>
          <w:lang w:val="en"/>
        </w:rPr>
        <w:t>、</w:t>
      </w:r>
      <w:r w:rsidR="00915114" w:rsidRPr="00D038ED">
        <w:rPr>
          <w:rFonts w:ascii="Times New Roman" w:hAnsi="Times New Roman" w:cs="Times New Roman"/>
          <w:b/>
          <w:color w:val="000000" w:themeColor="text1"/>
          <w:lang w:val="en"/>
        </w:rPr>
        <w:t>Production mode</w:t>
      </w:r>
    </w:p>
    <w:p w:rsidR="00915114" w:rsidRPr="00915114" w:rsidRDefault="00C141D1" w:rsidP="00915114">
      <w:pPr>
        <w:spacing w:line="276" w:lineRule="auto"/>
        <w:ind w:firstLineChars="200" w:firstLine="420"/>
        <w:rPr>
          <w:rFonts w:ascii="Times New Roman" w:hAnsi="Times New Roman" w:cs="Times New Roman"/>
          <w:color w:val="000000" w:themeColor="text1"/>
          <w:lang w:val="en"/>
        </w:rPr>
      </w:pPr>
      <w:r>
        <w:rPr>
          <w:rFonts w:ascii="Times New Roman" w:hAnsi="Times New Roman" w:cs="Times New Roman"/>
          <w:color w:val="000000" w:themeColor="text1"/>
          <w:lang w:val="en"/>
        </w:rPr>
        <w:t>PTL</w:t>
      </w:r>
      <w:r w:rsidR="00915114" w:rsidRPr="00915114">
        <w:rPr>
          <w:rFonts w:ascii="Times New Roman" w:hAnsi="Times New Roman" w:cs="Times New Roman"/>
          <w:color w:val="000000" w:themeColor="text1"/>
          <w:lang w:val="en"/>
        </w:rPr>
        <w:t xml:space="preserve"> adopts a production model of "organizing production according to orders and considering market forecasts for moderate inventory" for </w:t>
      </w:r>
      <w:r>
        <w:rPr>
          <w:rFonts w:ascii="Times New Roman" w:hAnsi="Times New Roman" w:cs="Times New Roman"/>
          <w:color w:val="000000" w:themeColor="text1"/>
          <w:lang w:val="en"/>
        </w:rPr>
        <w:t>anode</w:t>
      </w:r>
      <w:r w:rsidR="00915114" w:rsidRPr="00915114">
        <w:rPr>
          <w:rFonts w:ascii="Times New Roman" w:hAnsi="Times New Roman" w:cs="Times New Roman"/>
          <w:color w:val="000000" w:themeColor="text1"/>
          <w:lang w:val="en"/>
        </w:rPr>
        <w:t xml:space="preserve"> materials, </w:t>
      </w:r>
      <w:r>
        <w:rPr>
          <w:rFonts w:ascii="Times New Roman" w:hAnsi="Times New Roman" w:cs="Times New Roman"/>
          <w:color w:val="000000" w:themeColor="text1"/>
          <w:lang w:val="en"/>
        </w:rPr>
        <w:t>separator and coating</w:t>
      </w:r>
      <w:r w:rsidR="00915114" w:rsidRPr="00915114">
        <w:rPr>
          <w:rFonts w:ascii="Times New Roman" w:hAnsi="Times New Roman" w:cs="Times New Roman"/>
          <w:color w:val="000000" w:themeColor="text1"/>
          <w:lang w:val="en"/>
        </w:rPr>
        <w:t>, PVDF and binders, composite current collectors, and a</w:t>
      </w:r>
      <w:r>
        <w:rPr>
          <w:rFonts w:ascii="Times New Roman" w:hAnsi="Times New Roman" w:cs="Times New Roman"/>
          <w:color w:val="000000" w:themeColor="text1"/>
          <w:lang w:val="en"/>
        </w:rPr>
        <w:t xml:space="preserve">luminum-plastic packaging films. </w:t>
      </w:r>
      <w:r w:rsidR="00915114" w:rsidRPr="00915114">
        <w:rPr>
          <w:rFonts w:ascii="Times New Roman" w:hAnsi="Times New Roman" w:cs="Times New Roman"/>
          <w:color w:val="000000" w:themeColor="text1"/>
          <w:lang w:val="en"/>
        </w:rPr>
        <w:t xml:space="preserve">Automation equipment is guided by the actual applicability and functional requirements of customers, and </w:t>
      </w:r>
      <w:r w:rsidR="00915114" w:rsidRPr="00915114">
        <w:rPr>
          <w:rFonts w:ascii="Times New Roman" w:hAnsi="Times New Roman" w:cs="Times New Roman"/>
          <w:color w:val="000000" w:themeColor="text1"/>
          <w:lang w:val="en"/>
        </w:rPr>
        <w:lastRenderedPageBreak/>
        <w:t xml:space="preserve">targeted overall scheme selection and design are carried out. Key self-made components and </w:t>
      </w:r>
      <w:proofErr w:type="spellStart"/>
      <w:r w:rsidR="00915114" w:rsidRPr="00915114">
        <w:rPr>
          <w:rFonts w:ascii="Times New Roman" w:hAnsi="Times New Roman" w:cs="Times New Roman"/>
          <w:color w:val="000000" w:themeColor="text1"/>
          <w:lang w:val="en"/>
        </w:rPr>
        <w:t>non key</w:t>
      </w:r>
      <w:proofErr w:type="spellEnd"/>
      <w:r w:rsidR="00915114" w:rsidRPr="00915114">
        <w:rPr>
          <w:rFonts w:ascii="Times New Roman" w:hAnsi="Times New Roman" w:cs="Times New Roman"/>
          <w:color w:val="000000" w:themeColor="text1"/>
          <w:lang w:val="en"/>
        </w:rPr>
        <w:t xml:space="preserve"> outsourced components are integrated and integrated, and the whole machine is delivered in conjunction with self-developed software system integration.</w:t>
      </w:r>
    </w:p>
    <w:p w:rsidR="00915114" w:rsidRPr="00D038ED" w:rsidRDefault="00D038ED" w:rsidP="00915114">
      <w:pPr>
        <w:spacing w:line="276" w:lineRule="auto"/>
        <w:ind w:firstLineChars="200" w:firstLine="420"/>
        <w:rPr>
          <w:rFonts w:ascii="Times New Roman" w:hAnsi="Times New Roman" w:cs="Times New Roman"/>
          <w:b/>
          <w:color w:val="000000" w:themeColor="text1"/>
          <w:lang w:val="en"/>
        </w:rPr>
      </w:pPr>
      <w:r w:rsidRPr="00D038ED">
        <w:rPr>
          <w:rFonts w:ascii="Times New Roman" w:hAnsi="Times New Roman" w:cs="Times New Roman" w:hint="eastAsia"/>
          <w:b/>
          <w:color w:val="000000" w:themeColor="text1"/>
          <w:lang w:val="en"/>
        </w:rPr>
        <w:t>c</w:t>
      </w:r>
      <w:r w:rsidRPr="00D038ED">
        <w:rPr>
          <w:rFonts w:ascii="Times New Roman" w:hAnsi="Times New Roman" w:cs="Times New Roman" w:hint="eastAsia"/>
          <w:b/>
          <w:color w:val="000000" w:themeColor="text1"/>
          <w:lang w:val="en"/>
        </w:rPr>
        <w:t>、</w:t>
      </w:r>
      <w:r w:rsidR="00915114" w:rsidRPr="00D038ED">
        <w:rPr>
          <w:rFonts w:ascii="Times New Roman" w:hAnsi="Times New Roman" w:cs="Times New Roman"/>
          <w:b/>
          <w:color w:val="000000" w:themeColor="text1"/>
          <w:lang w:val="en"/>
        </w:rPr>
        <w:t>Sales model</w:t>
      </w:r>
    </w:p>
    <w:p w:rsidR="00915114" w:rsidRDefault="00915114" w:rsidP="00915114">
      <w:pPr>
        <w:spacing w:line="276" w:lineRule="auto"/>
        <w:ind w:firstLineChars="200" w:firstLine="420"/>
        <w:rPr>
          <w:rFonts w:ascii="Times New Roman" w:eastAsia="宋体" w:hAnsi="Times New Roman" w:cs="Times New Roman"/>
          <w:bCs/>
          <w:color w:val="000000" w:themeColor="text1"/>
          <w:szCs w:val="21"/>
          <w:lang w:val="en"/>
        </w:rPr>
      </w:pPr>
      <w:r w:rsidRPr="00915114">
        <w:rPr>
          <w:rFonts w:ascii="Times New Roman" w:hAnsi="Times New Roman" w:cs="Times New Roman"/>
          <w:color w:val="000000" w:themeColor="text1"/>
          <w:lang w:val="en"/>
        </w:rPr>
        <w:t xml:space="preserve">As a key upstream supplier in the new energy battery supply chain, </w:t>
      </w:r>
      <w:r w:rsidR="00C141D1">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 adopts a sales model</w:t>
      </w:r>
      <w:r w:rsidR="00C141D1">
        <w:rPr>
          <w:rFonts w:ascii="Times New Roman" w:hAnsi="Times New Roman" w:cs="Times New Roman"/>
          <w:color w:val="000000" w:themeColor="text1"/>
          <w:lang w:val="en"/>
        </w:rPr>
        <w:t xml:space="preserve"> that</w:t>
      </w:r>
      <w:r w:rsidR="005A357B">
        <w:rPr>
          <w:rFonts w:ascii="Times New Roman" w:hAnsi="Times New Roman" w:cs="Times New Roman"/>
          <w:color w:val="000000" w:themeColor="text1"/>
          <w:lang w:val="en"/>
        </w:rPr>
        <w:t xml:space="preserve"> the company</w:t>
      </w:r>
      <w:r w:rsidRPr="00915114">
        <w:rPr>
          <w:rFonts w:ascii="Times New Roman" w:hAnsi="Times New Roman" w:cs="Times New Roman"/>
          <w:color w:val="000000" w:themeColor="text1"/>
          <w:lang w:val="en"/>
        </w:rPr>
        <w:t xml:space="preserve"> connects with downstream customers</w:t>
      </w:r>
      <w:r w:rsidR="005A357B">
        <w:rPr>
          <w:rFonts w:ascii="Times New Roman" w:hAnsi="Times New Roman" w:cs="Times New Roman"/>
          <w:color w:val="000000" w:themeColor="text1"/>
          <w:lang w:val="en"/>
        </w:rPr>
        <w:t xml:space="preserve"> </w:t>
      </w:r>
      <w:r w:rsidR="005A357B" w:rsidRPr="005A357B">
        <w:rPr>
          <w:rFonts w:ascii="Times New Roman" w:hAnsi="Times New Roman" w:cs="Times New Roman"/>
          <w:color w:val="000000" w:themeColor="text1"/>
          <w:lang w:val="en"/>
        </w:rPr>
        <w:t>directly</w:t>
      </w:r>
      <w:r w:rsidR="005A357B">
        <w:rPr>
          <w:rFonts w:ascii="Times New Roman" w:hAnsi="Times New Roman" w:cs="Times New Roman"/>
          <w:color w:val="000000" w:themeColor="text1"/>
          <w:lang w:val="en"/>
        </w:rPr>
        <w:t xml:space="preserve"> through </w:t>
      </w:r>
      <w:r w:rsidR="005A357B" w:rsidRPr="005A357B">
        <w:rPr>
          <w:rFonts w:ascii="Times New Roman" w:hAnsi="Times New Roman" w:cs="Times New Roman"/>
          <w:color w:val="000000" w:themeColor="text1"/>
          <w:lang w:val="en"/>
        </w:rPr>
        <w:t>the sales department</w:t>
      </w:r>
      <w:r w:rsidR="005A357B" w:rsidRPr="005A357B">
        <w:t xml:space="preserve"> </w:t>
      </w:r>
      <w:r w:rsidR="005A357B" w:rsidRPr="005A357B">
        <w:rPr>
          <w:rFonts w:ascii="Times New Roman" w:hAnsi="Times New Roman" w:cs="Times New Roman"/>
          <w:color w:val="000000" w:themeColor="text1"/>
          <w:lang w:val="en"/>
        </w:rPr>
        <w:t>with collaborative assistance from technical support departments such as research and development and quality</w:t>
      </w:r>
      <w:r w:rsidRPr="00915114">
        <w:rPr>
          <w:rFonts w:ascii="Times New Roman" w:hAnsi="Times New Roman" w:cs="Times New Roman"/>
          <w:color w:val="000000" w:themeColor="text1"/>
          <w:lang w:val="en"/>
        </w:rPr>
        <w:t xml:space="preserve">. Through strategic cooperation, joint research and development, product design and customization services, </w:t>
      </w:r>
      <w:r w:rsidR="005A357B">
        <w:rPr>
          <w:rFonts w:ascii="Times New Roman" w:hAnsi="Times New Roman" w:cs="Times New Roman"/>
          <w:color w:val="000000" w:themeColor="text1"/>
          <w:lang w:val="en"/>
        </w:rPr>
        <w:t>PTL</w:t>
      </w:r>
      <w:r w:rsidRPr="00915114">
        <w:rPr>
          <w:rFonts w:ascii="Times New Roman" w:hAnsi="Times New Roman" w:cs="Times New Roman"/>
          <w:color w:val="000000" w:themeColor="text1"/>
          <w:lang w:val="en"/>
        </w:rPr>
        <w:t xml:space="preserve"> has established long-term and stable</w:t>
      </w:r>
      <w:r w:rsidRPr="00915114">
        <w:rPr>
          <w:rFonts w:ascii="Times New Roman" w:eastAsia="宋体" w:hAnsi="Times New Roman" w:cs="Times New Roman"/>
          <w:bCs/>
          <w:color w:val="000000" w:themeColor="text1"/>
          <w:szCs w:val="21"/>
          <w:lang w:val="en"/>
        </w:rPr>
        <w:t xml:space="preserve"> business cooperation relationships with downstream customers.</w:t>
      </w:r>
    </w:p>
    <w:p w:rsidR="00915114" w:rsidRPr="00915114" w:rsidRDefault="00915114" w:rsidP="00915114">
      <w:pPr>
        <w:rPr>
          <w:rFonts w:ascii="Times New Roman" w:hAnsi="Times New Roman" w:cs="Times New Roman"/>
          <w:color w:val="000000" w:themeColor="text1"/>
          <w:lang w:val="en"/>
        </w:rPr>
      </w:pPr>
    </w:p>
    <w:p w:rsidR="00915114" w:rsidRPr="00915114" w:rsidRDefault="00915114" w:rsidP="00915114">
      <w:pPr>
        <w:keepNext/>
        <w:keepLines/>
        <w:numPr>
          <w:ilvl w:val="1"/>
          <w:numId w:val="1"/>
        </w:numPr>
        <w:spacing w:before="60" w:after="60"/>
        <w:ind w:left="498" w:hangingChars="236" w:hanging="498"/>
        <w:outlineLvl w:val="1"/>
        <w:rPr>
          <w:rFonts w:ascii="Times New Roman" w:eastAsia="宋体" w:hAnsi="Times New Roman" w:cs="Times New Roman"/>
          <w:b/>
          <w:bCs/>
          <w:color w:val="000000" w:themeColor="text1"/>
          <w:szCs w:val="21"/>
          <w:lang w:val="en"/>
        </w:rPr>
      </w:pPr>
      <w:bookmarkStart w:id="2" w:name="_Toc342056397"/>
      <w:bookmarkStart w:id="3" w:name="_Toc342565889"/>
      <w:r w:rsidRPr="00915114">
        <w:rPr>
          <w:rFonts w:ascii="Times New Roman" w:eastAsia="宋体" w:hAnsi="Times New Roman" w:cs="Times New Roman"/>
          <w:b/>
          <w:bCs/>
          <w:color w:val="000000" w:themeColor="text1"/>
          <w:szCs w:val="21"/>
          <w:lang w:val="en"/>
        </w:rPr>
        <w:t>Key Accounting Data and Financial Indicators in the past three years</w:t>
      </w:r>
      <w:bookmarkEnd w:id="2"/>
      <w:bookmarkEnd w:id="3"/>
    </w:p>
    <w:p w:rsidR="00915114" w:rsidRPr="00915114" w:rsidRDefault="00915114" w:rsidP="00915114">
      <w:pPr>
        <w:keepNext/>
        <w:keepLines/>
        <w:numPr>
          <w:ilvl w:val="1"/>
          <w:numId w:val="2"/>
        </w:numPr>
        <w:spacing w:before="60" w:after="60"/>
        <w:outlineLvl w:val="2"/>
        <w:rPr>
          <w:rFonts w:ascii="Times New Roman" w:eastAsia="宋体" w:hAnsi="Times New Roman" w:cs="Times New Roman"/>
          <w:b/>
          <w:bCs/>
          <w:color w:val="000000" w:themeColor="text1"/>
          <w:kern w:val="0"/>
          <w:szCs w:val="32"/>
          <w:lang w:val="en"/>
        </w:rPr>
      </w:pPr>
      <w:r w:rsidRPr="00915114">
        <w:rPr>
          <w:rFonts w:ascii="Times New Roman" w:eastAsia="宋体" w:hAnsi="Times New Roman" w:cs="Times New Roman"/>
          <w:b/>
          <w:bCs/>
          <w:color w:val="000000" w:themeColor="text1"/>
          <w:kern w:val="0"/>
          <w:szCs w:val="32"/>
          <w:lang w:val="en"/>
        </w:rPr>
        <w:t>Key accounting data</w:t>
      </w:r>
    </w:p>
    <w:p w:rsidR="00915114" w:rsidRPr="00915114" w:rsidRDefault="00915114" w:rsidP="00915114">
      <w:pPr>
        <w:jc w:val="right"/>
        <w:rPr>
          <w:rFonts w:ascii="Times New Roman" w:hAnsi="Times New Roman" w:cs="Times New Roman"/>
          <w:color w:val="000000" w:themeColor="text1"/>
          <w:szCs w:val="21"/>
          <w:lang w:val="en"/>
        </w:rPr>
      </w:pPr>
      <w:r w:rsidRPr="00915114">
        <w:rPr>
          <w:rFonts w:ascii="Times New Roman" w:hAnsi="Times New Roman" w:cs="Times New Roman"/>
          <w:color w:val="000000" w:themeColor="text1"/>
          <w:szCs w:val="21"/>
          <w:lang w:val="en"/>
        </w:rPr>
        <w:t>Unit: CNY</w:t>
      </w:r>
    </w:p>
    <w:tbl>
      <w:tblPr>
        <w:tblStyle w:val="1"/>
        <w:tblW w:w="5124" w:type="pct"/>
        <w:tblLayout w:type="fixed"/>
        <w:tblLook w:val="0000" w:firstRow="0" w:lastRow="0" w:firstColumn="0" w:lastColumn="0" w:noHBand="0" w:noVBand="0"/>
      </w:tblPr>
      <w:tblGrid>
        <w:gridCol w:w="1839"/>
        <w:gridCol w:w="1843"/>
        <w:gridCol w:w="1772"/>
        <w:gridCol w:w="1206"/>
        <w:gridCol w:w="1842"/>
      </w:tblGrid>
      <w:tr w:rsidR="00915114" w:rsidRPr="00915114" w:rsidTr="00BF07C3">
        <w:trPr>
          <w:trHeight w:val="596"/>
        </w:trPr>
        <w:tc>
          <w:tcPr>
            <w:tcW w:w="1082" w:type="pct"/>
            <w:vAlign w:val="center"/>
          </w:tcPr>
          <w:p w:rsidR="00915114" w:rsidRPr="00915114" w:rsidRDefault="00915114" w:rsidP="00915114">
            <w:pPr>
              <w:kinsoku w:val="0"/>
              <w:overflowPunct w:val="0"/>
              <w:autoSpaceDE w:val="0"/>
              <w:autoSpaceDN w:val="0"/>
              <w:adjustRightInd w:val="0"/>
              <w:snapToGrid w:val="0"/>
              <w:rPr>
                <w:color w:val="000000" w:themeColor="text1"/>
                <w:szCs w:val="21"/>
              </w:rPr>
            </w:pPr>
            <w:r w:rsidRPr="00915114">
              <w:rPr>
                <w:color w:val="000000" w:themeColor="text1"/>
                <w:szCs w:val="21"/>
              </w:rPr>
              <w:t>Key accounting data</w:t>
            </w:r>
          </w:p>
        </w:tc>
        <w:tc>
          <w:tcPr>
            <w:tcW w:w="1084"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2023</w:t>
            </w:r>
          </w:p>
        </w:tc>
        <w:tc>
          <w:tcPr>
            <w:tcW w:w="1042"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2022</w:t>
            </w:r>
          </w:p>
        </w:tc>
        <w:tc>
          <w:tcPr>
            <w:tcW w:w="709"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Change(%)</w:t>
            </w:r>
          </w:p>
        </w:tc>
        <w:tc>
          <w:tcPr>
            <w:tcW w:w="1083"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rPr>
            </w:pPr>
            <w:r w:rsidRPr="00915114">
              <w:rPr>
                <w:color w:val="000000" w:themeColor="text1"/>
                <w:szCs w:val="21"/>
              </w:rPr>
              <w:t>2021</w:t>
            </w:r>
          </w:p>
        </w:tc>
      </w:tr>
      <w:tr w:rsidR="00915114" w:rsidRPr="00915114" w:rsidTr="00BF07C3">
        <w:trPr>
          <w:trHeight w:val="285"/>
        </w:trPr>
        <w:tc>
          <w:tcPr>
            <w:tcW w:w="1082" w:type="pct"/>
          </w:tcPr>
          <w:p w:rsidR="00915114" w:rsidRPr="00915114" w:rsidRDefault="00915114" w:rsidP="00915114">
            <w:pPr>
              <w:kinsoku w:val="0"/>
              <w:overflowPunct w:val="0"/>
              <w:autoSpaceDE w:val="0"/>
              <w:autoSpaceDN w:val="0"/>
              <w:adjustRightInd w:val="0"/>
              <w:snapToGrid w:val="0"/>
              <w:rPr>
                <w:color w:val="000000" w:themeColor="text1"/>
                <w:szCs w:val="21"/>
              </w:rPr>
            </w:pPr>
            <w:r w:rsidRPr="00915114">
              <w:rPr>
                <w:color w:val="000000" w:themeColor="text1"/>
                <w:szCs w:val="21"/>
              </w:rPr>
              <w:t>Operati</w:t>
            </w:r>
            <w:r w:rsidRPr="00915114">
              <w:rPr>
                <w:rFonts w:hint="eastAsia"/>
                <w:color w:val="000000" w:themeColor="text1"/>
                <w:szCs w:val="21"/>
              </w:rPr>
              <w:t>on</w:t>
            </w:r>
            <w:r w:rsidRPr="00915114">
              <w:rPr>
                <w:color w:val="000000" w:themeColor="text1"/>
                <w:szCs w:val="21"/>
              </w:rPr>
              <w:t xml:space="preserve"> revenue</w:t>
            </w:r>
          </w:p>
        </w:tc>
        <w:tc>
          <w:tcPr>
            <w:tcW w:w="1084"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15,340,041,057.24</w:t>
            </w:r>
          </w:p>
        </w:tc>
        <w:tc>
          <w:tcPr>
            <w:tcW w:w="1042" w:type="pct"/>
            <w:vAlign w:val="center"/>
          </w:tcPr>
          <w:p w:rsidR="00915114" w:rsidRPr="00915114" w:rsidRDefault="00915114" w:rsidP="00915114">
            <w:pPr>
              <w:kinsoku w:val="0"/>
              <w:overflowPunct w:val="0"/>
              <w:autoSpaceDE w:val="0"/>
              <w:autoSpaceDN w:val="0"/>
              <w:adjustRightInd w:val="0"/>
              <w:snapToGrid w:val="0"/>
              <w:jc w:val="right"/>
              <w:rPr>
                <w:bCs/>
                <w:color w:val="000000" w:themeColor="text1"/>
                <w:szCs w:val="21"/>
              </w:rPr>
            </w:pPr>
            <w:r w:rsidRPr="00915114">
              <w:rPr>
                <w:color w:val="000000" w:themeColor="text1"/>
                <w:szCs w:val="21"/>
              </w:rPr>
              <w:t>15,463,905,959.37</w:t>
            </w:r>
          </w:p>
        </w:tc>
        <w:tc>
          <w:tcPr>
            <w:tcW w:w="709"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-0.80</w:t>
            </w:r>
          </w:p>
        </w:tc>
        <w:tc>
          <w:tcPr>
            <w:tcW w:w="1083"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8,995,894,111.31</w:t>
            </w:r>
          </w:p>
        </w:tc>
      </w:tr>
      <w:tr w:rsidR="00915114" w:rsidRPr="00915114" w:rsidTr="00BF07C3">
        <w:trPr>
          <w:trHeight w:val="285"/>
        </w:trPr>
        <w:tc>
          <w:tcPr>
            <w:tcW w:w="1082" w:type="pct"/>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 xml:space="preserve">Net profits attributable to shareholders of the </w:t>
            </w:r>
            <w:proofErr w:type="spellStart"/>
            <w:r w:rsidRPr="00915114">
              <w:rPr>
                <w:color w:val="000000" w:themeColor="text1"/>
                <w:szCs w:val="21"/>
              </w:rPr>
              <w:t>the</w:t>
            </w:r>
            <w:proofErr w:type="spellEnd"/>
            <w:r w:rsidRPr="00915114">
              <w:rPr>
                <w:color w:val="000000" w:themeColor="text1"/>
                <w:szCs w:val="21"/>
              </w:rPr>
              <w:t xml:space="preserve"> listed company</w:t>
            </w:r>
          </w:p>
        </w:tc>
        <w:tc>
          <w:tcPr>
            <w:tcW w:w="1084"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1,911,603,496.56</w:t>
            </w:r>
          </w:p>
        </w:tc>
        <w:tc>
          <w:tcPr>
            <w:tcW w:w="1042" w:type="pct"/>
            <w:vAlign w:val="center"/>
          </w:tcPr>
          <w:p w:rsidR="00915114" w:rsidRPr="00915114" w:rsidRDefault="00915114" w:rsidP="00915114">
            <w:pPr>
              <w:kinsoku w:val="0"/>
              <w:overflowPunct w:val="0"/>
              <w:autoSpaceDE w:val="0"/>
              <w:autoSpaceDN w:val="0"/>
              <w:adjustRightInd w:val="0"/>
              <w:snapToGrid w:val="0"/>
              <w:jc w:val="right"/>
              <w:rPr>
                <w:bCs/>
                <w:color w:val="000000" w:themeColor="text1"/>
                <w:szCs w:val="21"/>
              </w:rPr>
            </w:pPr>
            <w:r w:rsidRPr="00915114">
              <w:rPr>
                <w:color w:val="000000" w:themeColor="text1"/>
                <w:szCs w:val="21"/>
              </w:rPr>
              <w:t>3,104,433,993.56</w:t>
            </w:r>
          </w:p>
        </w:tc>
        <w:tc>
          <w:tcPr>
            <w:tcW w:w="709"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-38.42</w:t>
            </w:r>
          </w:p>
        </w:tc>
        <w:tc>
          <w:tcPr>
            <w:tcW w:w="1083"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1,748,727,819.13</w:t>
            </w:r>
          </w:p>
        </w:tc>
      </w:tr>
      <w:tr w:rsidR="00915114" w:rsidRPr="00915114" w:rsidTr="00BF07C3">
        <w:trPr>
          <w:trHeight w:val="285"/>
        </w:trPr>
        <w:tc>
          <w:tcPr>
            <w:tcW w:w="1082" w:type="pct"/>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Net profits a</w:t>
            </w:r>
            <w:r w:rsidR="00C23F3E">
              <w:rPr>
                <w:color w:val="000000" w:themeColor="text1"/>
                <w:szCs w:val="21"/>
              </w:rPr>
              <w:t xml:space="preserve">ttributable to shareholders of </w:t>
            </w:r>
            <w:r w:rsidR="00C23F3E">
              <w:rPr>
                <w:rFonts w:hint="eastAsia"/>
                <w:color w:val="000000" w:themeColor="text1"/>
                <w:szCs w:val="21"/>
              </w:rPr>
              <w:t>t</w:t>
            </w:r>
            <w:r w:rsidRPr="00915114">
              <w:rPr>
                <w:color w:val="000000" w:themeColor="text1"/>
                <w:szCs w:val="21"/>
              </w:rPr>
              <w:t>he listed company after deduction of non-recurring gains and losses</w:t>
            </w:r>
          </w:p>
        </w:tc>
        <w:tc>
          <w:tcPr>
            <w:tcW w:w="1084"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1,780,776,488.62</w:t>
            </w:r>
          </w:p>
        </w:tc>
        <w:tc>
          <w:tcPr>
            <w:tcW w:w="1042" w:type="pct"/>
            <w:vAlign w:val="center"/>
          </w:tcPr>
          <w:p w:rsidR="00915114" w:rsidRPr="00915114" w:rsidRDefault="00915114" w:rsidP="00915114">
            <w:pPr>
              <w:kinsoku w:val="0"/>
              <w:overflowPunct w:val="0"/>
              <w:autoSpaceDE w:val="0"/>
              <w:autoSpaceDN w:val="0"/>
              <w:adjustRightInd w:val="0"/>
              <w:snapToGrid w:val="0"/>
              <w:jc w:val="right"/>
              <w:rPr>
                <w:bCs/>
                <w:color w:val="000000" w:themeColor="text1"/>
                <w:szCs w:val="21"/>
              </w:rPr>
            </w:pPr>
            <w:r w:rsidRPr="00915114">
              <w:rPr>
                <w:color w:val="000000" w:themeColor="text1"/>
              </w:rPr>
              <w:t>2,959,051,738.74</w:t>
            </w:r>
          </w:p>
        </w:tc>
        <w:tc>
          <w:tcPr>
            <w:tcW w:w="709"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-39.82</w:t>
            </w:r>
          </w:p>
        </w:tc>
        <w:tc>
          <w:tcPr>
            <w:tcW w:w="1083"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rPr>
            </w:pPr>
            <w:r w:rsidRPr="00915114">
              <w:rPr>
                <w:color w:val="000000" w:themeColor="text1"/>
              </w:rPr>
              <w:t>1,660,041,467.57</w:t>
            </w:r>
          </w:p>
        </w:tc>
      </w:tr>
      <w:tr w:rsidR="00915114" w:rsidRPr="00915114" w:rsidTr="00BF07C3">
        <w:trPr>
          <w:trHeight w:val="285"/>
        </w:trPr>
        <w:tc>
          <w:tcPr>
            <w:tcW w:w="1082" w:type="pct"/>
          </w:tcPr>
          <w:p w:rsidR="00915114" w:rsidRPr="00915114" w:rsidRDefault="00915114" w:rsidP="00915114">
            <w:pPr>
              <w:kinsoku w:val="0"/>
              <w:overflowPunct w:val="0"/>
              <w:autoSpaceDE w:val="0"/>
              <w:autoSpaceDN w:val="0"/>
              <w:adjustRightInd w:val="0"/>
              <w:snapToGrid w:val="0"/>
              <w:rPr>
                <w:color w:val="000000" w:themeColor="text1"/>
                <w:szCs w:val="21"/>
                <w:highlight w:val="magenta"/>
              </w:rPr>
            </w:pPr>
            <w:r w:rsidRPr="00915114">
              <w:rPr>
                <w:color w:val="000000" w:themeColor="text1"/>
                <w:szCs w:val="21"/>
              </w:rPr>
              <w:t>Net cash flow from operating activities</w:t>
            </w:r>
          </w:p>
        </w:tc>
        <w:tc>
          <w:tcPr>
            <w:tcW w:w="1084"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1,117,806,387.29</w:t>
            </w:r>
          </w:p>
        </w:tc>
        <w:tc>
          <w:tcPr>
            <w:tcW w:w="1042"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1,223,361,736.87</w:t>
            </w:r>
          </w:p>
        </w:tc>
        <w:tc>
          <w:tcPr>
            <w:tcW w:w="709"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-8.63</w:t>
            </w:r>
          </w:p>
        </w:tc>
        <w:tc>
          <w:tcPr>
            <w:tcW w:w="1083"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1,725,113,559.10</w:t>
            </w:r>
          </w:p>
        </w:tc>
      </w:tr>
      <w:tr w:rsidR="00915114" w:rsidRPr="00915114" w:rsidTr="00BF07C3">
        <w:trPr>
          <w:trHeight w:val="533"/>
        </w:trPr>
        <w:tc>
          <w:tcPr>
            <w:tcW w:w="1082" w:type="pct"/>
          </w:tcPr>
          <w:p w:rsidR="00915114" w:rsidRPr="00915114" w:rsidRDefault="00915114" w:rsidP="00915114">
            <w:pPr>
              <w:kinsoku w:val="0"/>
              <w:overflowPunct w:val="0"/>
              <w:autoSpaceDE w:val="0"/>
              <w:autoSpaceDN w:val="0"/>
              <w:adjustRightInd w:val="0"/>
              <w:snapToGrid w:val="0"/>
              <w:rPr>
                <w:color w:val="000000" w:themeColor="text1"/>
                <w:szCs w:val="21"/>
              </w:rPr>
            </w:pPr>
          </w:p>
        </w:tc>
        <w:tc>
          <w:tcPr>
            <w:tcW w:w="1084"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31 December 2023</w:t>
            </w:r>
          </w:p>
        </w:tc>
        <w:tc>
          <w:tcPr>
            <w:tcW w:w="1042"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31 December 2022</w:t>
            </w:r>
          </w:p>
        </w:tc>
        <w:tc>
          <w:tcPr>
            <w:tcW w:w="709"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Changes of the Same Period ( % )</w:t>
            </w:r>
          </w:p>
        </w:tc>
        <w:tc>
          <w:tcPr>
            <w:tcW w:w="1083"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rPr>
            </w:pPr>
            <w:r w:rsidRPr="00915114">
              <w:rPr>
                <w:color w:val="000000" w:themeColor="text1"/>
                <w:szCs w:val="21"/>
              </w:rPr>
              <w:t>31 December 2021</w:t>
            </w:r>
          </w:p>
        </w:tc>
      </w:tr>
      <w:tr w:rsidR="00915114" w:rsidRPr="00915114" w:rsidTr="00BF07C3">
        <w:trPr>
          <w:trHeight w:val="285"/>
        </w:trPr>
        <w:tc>
          <w:tcPr>
            <w:tcW w:w="1082" w:type="pct"/>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Net assets attributable to shareholders of  the listed company</w:t>
            </w:r>
          </w:p>
        </w:tc>
        <w:tc>
          <w:tcPr>
            <w:tcW w:w="1084"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17,774,487,767.57</w:t>
            </w:r>
          </w:p>
        </w:tc>
        <w:tc>
          <w:tcPr>
            <w:tcW w:w="1042" w:type="pct"/>
            <w:vAlign w:val="center"/>
          </w:tcPr>
          <w:p w:rsidR="00915114" w:rsidRPr="00915114" w:rsidRDefault="00915114" w:rsidP="00915114">
            <w:pPr>
              <w:kinsoku w:val="0"/>
              <w:overflowPunct w:val="0"/>
              <w:autoSpaceDE w:val="0"/>
              <w:autoSpaceDN w:val="0"/>
              <w:adjustRightInd w:val="0"/>
              <w:snapToGrid w:val="0"/>
              <w:jc w:val="right"/>
              <w:rPr>
                <w:bCs/>
                <w:color w:val="000000" w:themeColor="text1"/>
                <w:szCs w:val="21"/>
              </w:rPr>
            </w:pPr>
            <w:r w:rsidRPr="00915114">
              <w:rPr>
                <w:color w:val="000000" w:themeColor="text1"/>
                <w:szCs w:val="21"/>
              </w:rPr>
              <w:t>13,456,926,161.06</w:t>
            </w:r>
          </w:p>
        </w:tc>
        <w:tc>
          <w:tcPr>
            <w:tcW w:w="709"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32.08</w:t>
            </w:r>
          </w:p>
        </w:tc>
        <w:tc>
          <w:tcPr>
            <w:tcW w:w="1083"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10,486,702,727.06</w:t>
            </w:r>
          </w:p>
        </w:tc>
      </w:tr>
      <w:tr w:rsidR="00915114" w:rsidRPr="00915114" w:rsidTr="00BF07C3">
        <w:trPr>
          <w:trHeight w:val="285"/>
        </w:trPr>
        <w:tc>
          <w:tcPr>
            <w:tcW w:w="1082" w:type="pct"/>
          </w:tcPr>
          <w:p w:rsidR="00915114" w:rsidRPr="00915114" w:rsidRDefault="00915114" w:rsidP="00915114">
            <w:pPr>
              <w:kinsoku w:val="0"/>
              <w:overflowPunct w:val="0"/>
              <w:autoSpaceDE w:val="0"/>
              <w:autoSpaceDN w:val="0"/>
              <w:adjustRightInd w:val="0"/>
              <w:snapToGrid w:val="0"/>
              <w:rPr>
                <w:color w:val="000000" w:themeColor="text1"/>
                <w:szCs w:val="21"/>
              </w:rPr>
            </w:pPr>
            <w:r w:rsidRPr="00915114">
              <w:rPr>
                <w:color w:val="000000" w:themeColor="text1"/>
                <w:szCs w:val="21"/>
              </w:rPr>
              <w:t>Total assets</w:t>
            </w:r>
          </w:p>
        </w:tc>
        <w:tc>
          <w:tcPr>
            <w:tcW w:w="1084"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43,674,947,626.61</w:t>
            </w:r>
          </w:p>
        </w:tc>
        <w:tc>
          <w:tcPr>
            <w:tcW w:w="1042" w:type="pct"/>
            <w:vAlign w:val="center"/>
          </w:tcPr>
          <w:p w:rsidR="00915114" w:rsidRPr="00915114" w:rsidRDefault="00915114" w:rsidP="00915114">
            <w:pPr>
              <w:kinsoku w:val="0"/>
              <w:overflowPunct w:val="0"/>
              <w:autoSpaceDE w:val="0"/>
              <w:autoSpaceDN w:val="0"/>
              <w:adjustRightInd w:val="0"/>
              <w:snapToGrid w:val="0"/>
              <w:jc w:val="right"/>
              <w:rPr>
                <w:bCs/>
                <w:color w:val="000000" w:themeColor="text1"/>
                <w:szCs w:val="21"/>
              </w:rPr>
            </w:pPr>
            <w:r w:rsidRPr="00915114">
              <w:rPr>
                <w:color w:val="000000" w:themeColor="text1"/>
                <w:szCs w:val="21"/>
              </w:rPr>
              <w:t>35,697,309,157.66</w:t>
            </w:r>
          </w:p>
        </w:tc>
        <w:tc>
          <w:tcPr>
            <w:tcW w:w="709"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22.35</w:t>
            </w:r>
          </w:p>
        </w:tc>
        <w:tc>
          <w:tcPr>
            <w:tcW w:w="1083" w:type="pct"/>
            <w:vAlign w:val="center"/>
          </w:tcPr>
          <w:p w:rsidR="00915114" w:rsidRPr="00915114" w:rsidRDefault="00915114" w:rsidP="00915114">
            <w:pPr>
              <w:kinsoku w:val="0"/>
              <w:overflowPunct w:val="0"/>
              <w:autoSpaceDE w:val="0"/>
              <w:autoSpaceDN w:val="0"/>
              <w:adjustRightInd w:val="0"/>
              <w:snapToGrid w:val="0"/>
              <w:jc w:val="right"/>
              <w:rPr>
                <w:color w:val="000000" w:themeColor="text1"/>
                <w:szCs w:val="21"/>
              </w:rPr>
            </w:pPr>
            <w:r w:rsidRPr="00915114">
              <w:rPr>
                <w:color w:val="000000" w:themeColor="text1"/>
                <w:szCs w:val="21"/>
              </w:rPr>
              <w:t>21,450,262,561.84</w:t>
            </w:r>
          </w:p>
        </w:tc>
      </w:tr>
    </w:tbl>
    <w:p w:rsidR="00915114" w:rsidRPr="00915114" w:rsidRDefault="00915114" w:rsidP="00915114">
      <w:pPr>
        <w:rPr>
          <w:rFonts w:ascii="Times New Roman" w:hAnsi="Times New Roman" w:cs="Times New Roman"/>
          <w:color w:val="000000" w:themeColor="text1"/>
          <w:lang w:val="en"/>
        </w:rPr>
      </w:pPr>
    </w:p>
    <w:p w:rsidR="00141B44" w:rsidRDefault="00915114" w:rsidP="00141B44">
      <w:pPr>
        <w:keepNext/>
        <w:keepLines/>
        <w:numPr>
          <w:ilvl w:val="1"/>
          <w:numId w:val="2"/>
        </w:numPr>
        <w:spacing w:before="60" w:after="60"/>
        <w:outlineLvl w:val="2"/>
        <w:rPr>
          <w:rFonts w:ascii="Times New Roman" w:eastAsia="宋体" w:hAnsi="Times New Roman" w:cs="Times New Roman"/>
          <w:b/>
          <w:bCs/>
          <w:color w:val="000000" w:themeColor="text1"/>
          <w:kern w:val="0"/>
          <w:szCs w:val="21"/>
          <w:lang w:val="en"/>
        </w:rPr>
      </w:pPr>
      <w:r w:rsidRPr="00915114">
        <w:rPr>
          <w:rFonts w:ascii="Times New Roman" w:eastAsia="宋体" w:hAnsi="Times New Roman" w:cs="Times New Roman"/>
          <w:b/>
          <w:bCs/>
          <w:color w:val="000000" w:themeColor="text1"/>
          <w:kern w:val="0"/>
          <w:szCs w:val="32"/>
          <w:lang w:val="en"/>
        </w:rPr>
        <w:t>Key Financial Indicators</w:t>
      </w:r>
    </w:p>
    <w:p w:rsidR="00141B44" w:rsidRPr="00915114" w:rsidRDefault="00141B44" w:rsidP="00141B44">
      <w:pPr>
        <w:jc w:val="right"/>
        <w:rPr>
          <w:rFonts w:ascii="Times New Roman" w:eastAsia="宋体" w:hAnsi="Times New Roman" w:cs="Times New Roman"/>
          <w:bCs/>
          <w:color w:val="000000" w:themeColor="text1"/>
          <w:kern w:val="0"/>
          <w:sz w:val="20"/>
          <w:szCs w:val="21"/>
          <w:lang w:val="en"/>
        </w:rPr>
      </w:pPr>
      <w:r w:rsidRPr="00141B44">
        <w:rPr>
          <w:rFonts w:ascii="Times New Roman" w:eastAsia="宋体" w:hAnsi="Times New Roman" w:cs="Times New Roman"/>
          <w:bCs/>
          <w:color w:val="000000" w:themeColor="text1"/>
          <w:kern w:val="0"/>
          <w:sz w:val="20"/>
          <w:szCs w:val="21"/>
          <w:lang w:val="en"/>
        </w:rPr>
        <w:t>Unit: CNY</w:t>
      </w:r>
    </w:p>
    <w:tbl>
      <w:tblPr>
        <w:tblStyle w:val="1"/>
        <w:tblW w:w="5000" w:type="pct"/>
        <w:tblLook w:val="04A0" w:firstRow="1" w:lastRow="0" w:firstColumn="1" w:lastColumn="0" w:noHBand="0" w:noVBand="1"/>
      </w:tblPr>
      <w:tblGrid>
        <w:gridCol w:w="2930"/>
        <w:gridCol w:w="1067"/>
        <w:gridCol w:w="1067"/>
        <w:gridCol w:w="2399"/>
        <w:gridCol w:w="833"/>
      </w:tblGrid>
      <w:tr w:rsidR="00915114" w:rsidRPr="00915114" w:rsidTr="00BF07C3">
        <w:tc>
          <w:tcPr>
            <w:tcW w:w="1766"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Key Financial Indicators</w:t>
            </w:r>
          </w:p>
        </w:tc>
        <w:tc>
          <w:tcPr>
            <w:tcW w:w="643"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2023</w:t>
            </w:r>
          </w:p>
        </w:tc>
        <w:tc>
          <w:tcPr>
            <w:tcW w:w="643"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rPr>
            </w:pPr>
            <w:r w:rsidRPr="00915114">
              <w:rPr>
                <w:color w:val="000000" w:themeColor="text1"/>
                <w:szCs w:val="21"/>
              </w:rPr>
              <w:t>2022</w:t>
            </w:r>
          </w:p>
        </w:tc>
        <w:tc>
          <w:tcPr>
            <w:tcW w:w="1446"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szCs w:val="21"/>
              </w:rPr>
            </w:pPr>
            <w:r w:rsidRPr="00915114">
              <w:rPr>
                <w:color w:val="000000" w:themeColor="text1"/>
                <w:szCs w:val="21"/>
              </w:rPr>
              <w:t>Change (%)</w:t>
            </w:r>
          </w:p>
        </w:tc>
        <w:tc>
          <w:tcPr>
            <w:tcW w:w="502" w:type="pct"/>
            <w:vAlign w:val="center"/>
          </w:tcPr>
          <w:p w:rsidR="00915114" w:rsidRPr="00915114" w:rsidRDefault="00915114" w:rsidP="00915114">
            <w:pPr>
              <w:kinsoku w:val="0"/>
              <w:overflowPunct w:val="0"/>
              <w:autoSpaceDE w:val="0"/>
              <w:autoSpaceDN w:val="0"/>
              <w:adjustRightInd w:val="0"/>
              <w:snapToGrid w:val="0"/>
              <w:jc w:val="center"/>
              <w:rPr>
                <w:color w:val="000000" w:themeColor="text1"/>
              </w:rPr>
            </w:pPr>
            <w:r w:rsidRPr="00915114">
              <w:rPr>
                <w:color w:val="000000" w:themeColor="text1"/>
                <w:szCs w:val="21"/>
              </w:rPr>
              <w:t>2021</w:t>
            </w:r>
          </w:p>
        </w:tc>
      </w:tr>
      <w:tr w:rsidR="00915114" w:rsidRPr="00915114" w:rsidTr="00BF07C3">
        <w:tc>
          <w:tcPr>
            <w:tcW w:w="1766" w:type="pct"/>
            <w:vAlign w:val="center"/>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Basic earnings per share (CNY/share)</w:t>
            </w:r>
          </w:p>
        </w:tc>
        <w:tc>
          <w:tcPr>
            <w:tcW w:w="643" w:type="pct"/>
            <w:vAlign w:val="center"/>
          </w:tcPr>
          <w:p w:rsidR="00915114" w:rsidRPr="00915114" w:rsidRDefault="00915114" w:rsidP="00915114">
            <w:pPr>
              <w:jc w:val="right"/>
              <w:rPr>
                <w:color w:val="000000" w:themeColor="text1"/>
              </w:rPr>
            </w:pPr>
            <w:r w:rsidRPr="00915114">
              <w:rPr>
                <w:color w:val="000000" w:themeColor="text1"/>
              </w:rPr>
              <w:t>0.95</w:t>
            </w:r>
          </w:p>
        </w:tc>
        <w:tc>
          <w:tcPr>
            <w:tcW w:w="643" w:type="pct"/>
            <w:vAlign w:val="center"/>
          </w:tcPr>
          <w:p w:rsidR="00915114" w:rsidRPr="00915114" w:rsidRDefault="00915114" w:rsidP="00915114">
            <w:pPr>
              <w:jc w:val="right"/>
              <w:rPr>
                <w:color w:val="000000" w:themeColor="text1"/>
              </w:rPr>
            </w:pPr>
            <w:r w:rsidRPr="00915114">
              <w:rPr>
                <w:color w:val="000000" w:themeColor="text1"/>
              </w:rPr>
              <w:t>1.54</w:t>
            </w:r>
          </w:p>
        </w:tc>
        <w:tc>
          <w:tcPr>
            <w:tcW w:w="1446" w:type="pct"/>
            <w:vAlign w:val="center"/>
          </w:tcPr>
          <w:p w:rsidR="00915114" w:rsidRPr="00915114" w:rsidRDefault="00C23F3E" w:rsidP="00915114">
            <w:pPr>
              <w:jc w:val="right"/>
              <w:rPr>
                <w:color w:val="000000" w:themeColor="text1"/>
              </w:rPr>
            </w:pPr>
            <w:r>
              <w:rPr>
                <w:rFonts w:hint="eastAsia"/>
                <w:color w:val="000000" w:themeColor="text1"/>
              </w:rPr>
              <w:t>-</w:t>
            </w:r>
            <w:r>
              <w:rPr>
                <w:color w:val="000000" w:themeColor="text1"/>
              </w:rPr>
              <w:t>38.31</w:t>
            </w:r>
          </w:p>
        </w:tc>
        <w:tc>
          <w:tcPr>
            <w:tcW w:w="502" w:type="pct"/>
            <w:vAlign w:val="center"/>
          </w:tcPr>
          <w:p w:rsidR="00915114" w:rsidRPr="00915114" w:rsidRDefault="00915114" w:rsidP="00915114">
            <w:pPr>
              <w:jc w:val="right"/>
              <w:rPr>
                <w:color w:val="000000" w:themeColor="text1"/>
              </w:rPr>
            </w:pPr>
            <w:r w:rsidRPr="00915114">
              <w:rPr>
                <w:color w:val="000000" w:themeColor="text1"/>
              </w:rPr>
              <w:t>0.88</w:t>
            </w:r>
          </w:p>
        </w:tc>
      </w:tr>
      <w:tr w:rsidR="00915114" w:rsidRPr="00915114" w:rsidTr="00BF07C3">
        <w:tc>
          <w:tcPr>
            <w:tcW w:w="1766" w:type="pct"/>
            <w:vAlign w:val="center"/>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Diluted earnings per share (CNY/share)</w:t>
            </w:r>
          </w:p>
        </w:tc>
        <w:tc>
          <w:tcPr>
            <w:tcW w:w="643" w:type="pct"/>
            <w:vAlign w:val="center"/>
          </w:tcPr>
          <w:p w:rsidR="00915114" w:rsidRPr="00915114" w:rsidRDefault="00915114" w:rsidP="00915114">
            <w:pPr>
              <w:jc w:val="right"/>
              <w:rPr>
                <w:color w:val="000000" w:themeColor="text1"/>
              </w:rPr>
            </w:pPr>
            <w:r w:rsidRPr="00915114">
              <w:rPr>
                <w:color w:val="000000" w:themeColor="text1"/>
              </w:rPr>
              <w:t>0.94</w:t>
            </w:r>
          </w:p>
        </w:tc>
        <w:tc>
          <w:tcPr>
            <w:tcW w:w="643" w:type="pct"/>
            <w:vAlign w:val="center"/>
          </w:tcPr>
          <w:p w:rsidR="00915114" w:rsidRPr="00915114" w:rsidRDefault="00915114" w:rsidP="00915114">
            <w:pPr>
              <w:jc w:val="right"/>
              <w:rPr>
                <w:color w:val="000000" w:themeColor="text1"/>
              </w:rPr>
            </w:pPr>
            <w:r w:rsidRPr="00915114">
              <w:rPr>
                <w:color w:val="000000" w:themeColor="text1"/>
              </w:rPr>
              <w:t>1.54</w:t>
            </w:r>
          </w:p>
        </w:tc>
        <w:tc>
          <w:tcPr>
            <w:tcW w:w="1446" w:type="pct"/>
            <w:vAlign w:val="center"/>
          </w:tcPr>
          <w:p w:rsidR="00915114" w:rsidRPr="00915114" w:rsidRDefault="00C23F3E" w:rsidP="00915114">
            <w:pPr>
              <w:jc w:val="right"/>
              <w:rPr>
                <w:color w:val="000000" w:themeColor="text1"/>
              </w:rPr>
            </w:pPr>
            <w:r>
              <w:rPr>
                <w:rFonts w:hint="eastAsia"/>
                <w:color w:val="000000" w:themeColor="text1"/>
              </w:rPr>
              <w:t>-</w:t>
            </w:r>
            <w:r>
              <w:rPr>
                <w:color w:val="000000" w:themeColor="text1"/>
              </w:rPr>
              <w:t>38.96</w:t>
            </w:r>
          </w:p>
        </w:tc>
        <w:tc>
          <w:tcPr>
            <w:tcW w:w="502" w:type="pct"/>
            <w:vAlign w:val="center"/>
          </w:tcPr>
          <w:p w:rsidR="00915114" w:rsidRPr="00915114" w:rsidRDefault="00915114" w:rsidP="00915114">
            <w:pPr>
              <w:jc w:val="right"/>
              <w:rPr>
                <w:color w:val="000000" w:themeColor="text1"/>
              </w:rPr>
            </w:pPr>
            <w:r w:rsidRPr="00915114">
              <w:rPr>
                <w:color w:val="000000" w:themeColor="text1"/>
              </w:rPr>
              <w:t>0.88</w:t>
            </w:r>
          </w:p>
        </w:tc>
      </w:tr>
      <w:tr w:rsidR="00915114" w:rsidRPr="00915114" w:rsidTr="00BF07C3">
        <w:tc>
          <w:tcPr>
            <w:tcW w:w="1766" w:type="pct"/>
            <w:vAlign w:val="center"/>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Basic earnings per share after deducting non-recurring gains and losses (CNY/share)</w:t>
            </w:r>
          </w:p>
        </w:tc>
        <w:tc>
          <w:tcPr>
            <w:tcW w:w="643" w:type="pct"/>
            <w:vAlign w:val="center"/>
          </w:tcPr>
          <w:p w:rsidR="00915114" w:rsidRPr="00915114" w:rsidRDefault="00915114" w:rsidP="00915114">
            <w:pPr>
              <w:jc w:val="right"/>
              <w:rPr>
                <w:color w:val="000000" w:themeColor="text1"/>
              </w:rPr>
            </w:pPr>
            <w:r w:rsidRPr="00915114">
              <w:rPr>
                <w:color w:val="000000" w:themeColor="text1"/>
              </w:rPr>
              <w:t>0.88</w:t>
            </w:r>
          </w:p>
        </w:tc>
        <w:tc>
          <w:tcPr>
            <w:tcW w:w="643" w:type="pct"/>
            <w:vAlign w:val="center"/>
          </w:tcPr>
          <w:p w:rsidR="00915114" w:rsidRPr="00915114" w:rsidRDefault="00915114" w:rsidP="00915114">
            <w:pPr>
              <w:jc w:val="right"/>
              <w:rPr>
                <w:color w:val="000000" w:themeColor="text1"/>
              </w:rPr>
            </w:pPr>
            <w:r w:rsidRPr="00915114">
              <w:rPr>
                <w:color w:val="000000" w:themeColor="text1"/>
              </w:rPr>
              <w:t>1.47</w:t>
            </w:r>
          </w:p>
        </w:tc>
        <w:tc>
          <w:tcPr>
            <w:tcW w:w="1446" w:type="pct"/>
            <w:vAlign w:val="center"/>
          </w:tcPr>
          <w:p w:rsidR="00915114" w:rsidRPr="00915114" w:rsidRDefault="00C23F3E" w:rsidP="00915114">
            <w:pPr>
              <w:jc w:val="right"/>
              <w:rPr>
                <w:color w:val="000000" w:themeColor="text1"/>
              </w:rPr>
            </w:pPr>
            <w:r>
              <w:rPr>
                <w:rFonts w:hint="eastAsia"/>
                <w:color w:val="000000" w:themeColor="text1"/>
              </w:rPr>
              <w:t>-</w:t>
            </w:r>
            <w:r>
              <w:rPr>
                <w:color w:val="000000" w:themeColor="text1"/>
              </w:rPr>
              <w:t>40.14</w:t>
            </w:r>
          </w:p>
        </w:tc>
        <w:tc>
          <w:tcPr>
            <w:tcW w:w="502" w:type="pct"/>
            <w:vAlign w:val="center"/>
          </w:tcPr>
          <w:p w:rsidR="00915114" w:rsidRPr="00915114" w:rsidRDefault="00915114" w:rsidP="00915114">
            <w:pPr>
              <w:jc w:val="right"/>
              <w:rPr>
                <w:color w:val="000000" w:themeColor="text1"/>
              </w:rPr>
            </w:pPr>
            <w:r w:rsidRPr="00915114">
              <w:rPr>
                <w:color w:val="000000" w:themeColor="text1"/>
              </w:rPr>
              <w:t>0.83</w:t>
            </w:r>
          </w:p>
        </w:tc>
      </w:tr>
      <w:tr w:rsidR="00915114" w:rsidRPr="00915114" w:rsidTr="00BF07C3">
        <w:tc>
          <w:tcPr>
            <w:tcW w:w="1766" w:type="pct"/>
            <w:vAlign w:val="center"/>
          </w:tcPr>
          <w:p w:rsidR="00915114" w:rsidRPr="00915114" w:rsidRDefault="00915114" w:rsidP="00915114">
            <w:pPr>
              <w:kinsoku w:val="0"/>
              <w:overflowPunct w:val="0"/>
              <w:autoSpaceDE w:val="0"/>
              <w:autoSpaceDN w:val="0"/>
              <w:adjustRightInd w:val="0"/>
              <w:snapToGrid w:val="0"/>
              <w:rPr>
                <w:color w:val="000000" w:themeColor="text1"/>
                <w:szCs w:val="21"/>
              </w:rPr>
            </w:pPr>
            <w:r w:rsidRPr="00915114">
              <w:rPr>
                <w:color w:val="000000" w:themeColor="text1"/>
                <w:szCs w:val="21"/>
              </w:rPr>
              <w:lastRenderedPageBreak/>
              <w:t>Weighted average ROE (%)</w:t>
            </w:r>
          </w:p>
        </w:tc>
        <w:tc>
          <w:tcPr>
            <w:tcW w:w="643" w:type="pct"/>
            <w:vAlign w:val="center"/>
          </w:tcPr>
          <w:p w:rsidR="00915114" w:rsidRPr="00915114" w:rsidRDefault="00915114" w:rsidP="00915114">
            <w:pPr>
              <w:jc w:val="right"/>
              <w:rPr>
                <w:color w:val="000000" w:themeColor="text1"/>
              </w:rPr>
            </w:pPr>
            <w:r w:rsidRPr="00915114">
              <w:rPr>
                <w:color w:val="000000" w:themeColor="text1"/>
              </w:rPr>
              <w:t>13.27</w:t>
            </w:r>
          </w:p>
        </w:tc>
        <w:tc>
          <w:tcPr>
            <w:tcW w:w="643" w:type="pct"/>
            <w:vAlign w:val="center"/>
          </w:tcPr>
          <w:p w:rsidR="00915114" w:rsidRPr="00915114" w:rsidRDefault="00915114" w:rsidP="00915114">
            <w:pPr>
              <w:jc w:val="right"/>
              <w:rPr>
                <w:color w:val="000000" w:themeColor="text1"/>
              </w:rPr>
            </w:pPr>
            <w:r w:rsidRPr="00915114">
              <w:rPr>
                <w:color w:val="000000" w:themeColor="text1"/>
              </w:rPr>
              <w:t>26.00</w:t>
            </w:r>
          </w:p>
        </w:tc>
        <w:tc>
          <w:tcPr>
            <w:tcW w:w="1446" w:type="pct"/>
            <w:vAlign w:val="center"/>
          </w:tcPr>
          <w:p w:rsidR="00915114" w:rsidRPr="00915114" w:rsidRDefault="00915114" w:rsidP="00915114">
            <w:pPr>
              <w:jc w:val="right"/>
              <w:rPr>
                <w:color w:val="000000" w:themeColor="text1"/>
              </w:rPr>
            </w:pPr>
            <w:r w:rsidRPr="00915114">
              <w:rPr>
                <w:color w:val="000000" w:themeColor="text1"/>
              </w:rPr>
              <w:t>D</w:t>
            </w:r>
            <w:r w:rsidRPr="00915114">
              <w:rPr>
                <w:rFonts w:hint="eastAsia"/>
                <w:color w:val="000000" w:themeColor="text1"/>
              </w:rPr>
              <w:t>e</w:t>
            </w:r>
            <w:r w:rsidRPr="00915114">
              <w:rPr>
                <w:color w:val="000000" w:themeColor="text1"/>
              </w:rPr>
              <w:t>creased by 12.73 percentage points</w:t>
            </w:r>
          </w:p>
        </w:tc>
        <w:tc>
          <w:tcPr>
            <w:tcW w:w="502" w:type="pct"/>
            <w:vAlign w:val="center"/>
          </w:tcPr>
          <w:p w:rsidR="00915114" w:rsidRPr="00915114" w:rsidRDefault="00915114" w:rsidP="00915114">
            <w:pPr>
              <w:jc w:val="right"/>
              <w:rPr>
                <w:color w:val="000000" w:themeColor="text1"/>
              </w:rPr>
            </w:pPr>
            <w:r w:rsidRPr="00915114">
              <w:rPr>
                <w:color w:val="000000" w:themeColor="text1"/>
              </w:rPr>
              <w:t>18.07</w:t>
            </w:r>
          </w:p>
        </w:tc>
      </w:tr>
      <w:tr w:rsidR="00915114" w:rsidRPr="00915114" w:rsidTr="00BF07C3">
        <w:tc>
          <w:tcPr>
            <w:tcW w:w="1766" w:type="pct"/>
            <w:vAlign w:val="center"/>
          </w:tcPr>
          <w:p w:rsidR="00915114" w:rsidRPr="00915114" w:rsidRDefault="00915114" w:rsidP="00915114">
            <w:pPr>
              <w:kinsoku w:val="0"/>
              <w:wordWrap w:val="0"/>
              <w:overflowPunct w:val="0"/>
              <w:autoSpaceDE w:val="0"/>
              <w:autoSpaceDN w:val="0"/>
              <w:adjustRightInd w:val="0"/>
              <w:snapToGrid w:val="0"/>
              <w:rPr>
                <w:color w:val="000000" w:themeColor="text1"/>
                <w:szCs w:val="21"/>
              </w:rPr>
            </w:pPr>
            <w:r w:rsidRPr="00915114">
              <w:rPr>
                <w:color w:val="000000" w:themeColor="text1"/>
                <w:szCs w:val="21"/>
              </w:rPr>
              <w:t>Weighted average ROE after deducting non-recurring gains and losses (%)</w:t>
            </w:r>
          </w:p>
        </w:tc>
        <w:tc>
          <w:tcPr>
            <w:tcW w:w="643" w:type="pct"/>
            <w:vAlign w:val="center"/>
          </w:tcPr>
          <w:p w:rsidR="00915114" w:rsidRPr="00915114" w:rsidRDefault="00915114" w:rsidP="00915114">
            <w:pPr>
              <w:jc w:val="right"/>
              <w:rPr>
                <w:color w:val="000000" w:themeColor="text1"/>
              </w:rPr>
            </w:pPr>
            <w:r w:rsidRPr="00915114">
              <w:rPr>
                <w:color w:val="000000" w:themeColor="text1"/>
              </w:rPr>
              <w:t>12.36</w:t>
            </w:r>
          </w:p>
        </w:tc>
        <w:tc>
          <w:tcPr>
            <w:tcW w:w="643" w:type="pct"/>
            <w:vAlign w:val="center"/>
          </w:tcPr>
          <w:p w:rsidR="00915114" w:rsidRPr="00915114" w:rsidRDefault="00915114" w:rsidP="00915114">
            <w:pPr>
              <w:jc w:val="right"/>
              <w:rPr>
                <w:color w:val="000000" w:themeColor="text1"/>
              </w:rPr>
            </w:pPr>
            <w:r w:rsidRPr="00915114">
              <w:rPr>
                <w:color w:val="000000" w:themeColor="text1"/>
              </w:rPr>
              <w:t>24.76</w:t>
            </w:r>
          </w:p>
        </w:tc>
        <w:tc>
          <w:tcPr>
            <w:tcW w:w="1446" w:type="pct"/>
            <w:vAlign w:val="center"/>
          </w:tcPr>
          <w:p w:rsidR="00915114" w:rsidRPr="00915114" w:rsidRDefault="00915114" w:rsidP="00915114">
            <w:pPr>
              <w:jc w:val="right"/>
              <w:rPr>
                <w:color w:val="000000" w:themeColor="text1"/>
              </w:rPr>
            </w:pPr>
            <w:r w:rsidRPr="00915114">
              <w:rPr>
                <w:color w:val="000000" w:themeColor="text1"/>
              </w:rPr>
              <w:t>D</w:t>
            </w:r>
            <w:r w:rsidRPr="00915114">
              <w:rPr>
                <w:rFonts w:hint="eastAsia"/>
                <w:color w:val="000000" w:themeColor="text1"/>
              </w:rPr>
              <w:t>e</w:t>
            </w:r>
            <w:r w:rsidRPr="00915114">
              <w:rPr>
                <w:color w:val="000000" w:themeColor="text1"/>
              </w:rPr>
              <w:t>creased by 12.40 percentage points</w:t>
            </w:r>
          </w:p>
        </w:tc>
        <w:tc>
          <w:tcPr>
            <w:tcW w:w="502" w:type="pct"/>
            <w:vAlign w:val="center"/>
          </w:tcPr>
          <w:p w:rsidR="00915114" w:rsidRPr="00915114" w:rsidRDefault="00915114" w:rsidP="00915114">
            <w:pPr>
              <w:jc w:val="right"/>
              <w:rPr>
                <w:color w:val="000000" w:themeColor="text1"/>
              </w:rPr>
            </w:pPr>
            <w:r w:rsidRPr="00915114">
              <w:rPr>
                <w:color w:val="000000" w:themeColor="text1"/>
              </w:rPr>
              <w:t>17.16</w:t>
            </w:r>
          </w:p>
        </w:tc>
      </w:tr>
    </w:tbl>
    <w:p w:rsidR="00915114" w:rsidRDefault="00915114" w:rsidP="00915114">
      <w:pPr>
        <w:rPr>
          <w:rFonts w:ascii="Times New Roman" w:hAnsi="Times New Roman" w:cs="Times New Roman"/>
          <w:color w:val="000000" w:themeColor="text1"/>
          <w:lang w:val="en"/>
        </w:rPr>
      </w:pPr>
    </w:p>
    <w:p w:rsidR="00141B44" w:rsidRPr="00141B44" w:rsidRDefault="00141B44" w:rsidP="00141B44">
      <w:pPr>
        <w:keepNext/>
        <w:keepLines/>
        <w:numPr>
          <w:ilvl w:val="1"/>
          <w:numId w:val="2"/>
        </w:numPr>
        <w:spacing w:before="60" w:after="60"/>
        <w:outlineLvl w:val="2"/>
        <w:rPr>
          <w:rFonts w:ascii="Times New Roman" w:eastAsia="宋体" w:hAnsi="Times New Roman" w:cs="Times New Roman"/>
          <w:b/>
          <w:bCs/>
          <w:color w:val="000000" w:themeColor="text1"/>
          <w:kern w:val="0"/>
          <w:szCs w:val="32"/>
          <w:lang w:val="en"/>
        </w:rPr>
      </w:pPr>
      <w:r w:rsidRPr="00141B44">
        <w:rPr>
          <w:rFonts w:ascii="Times New Roman" w:eastAsia="宋体" w:hAnsi="Times New Roman" w:cs="Times New Roman"/>
          <w:b/>
          <w:bCs/>
          <w:color w:val="000000" w:themeColor="text1"/>
          <w:kern w:val="0"/>
          <w:szCs w:val="32"/>
          <w:lang w:val="en"/>
        </w:rPr>
        <w:t>Main Accounting Data for the Reporting Period by Quarter</w:t>
      </w:r>
    </w:p>
    <w:p w:rsidR="00141B44" w:rsidRDefault="00141B44" w:rsidP="00141B44">
      <w:pPr>
        <w:jc w:val="right"/>
        <w:rPr>
          <w:rFonts w:ascii="Times New Roman" w:hAnsi="Times New Roman" w:cs="Times New Roman"/>
          <w:color w:val="000000" w:themeColor="text1"/>
          <w:lang w:val="en"/>
        </w:rPr>
      </w:pPr>
      <w:r w:rsidRPr="00141B44">
        <w:rPr>
          <w:rFonts w:ascii="Times New Roman" w:hAnsi="Times New Roman" w:cs="Times New Roman"/>
          <w:color w:val="000000" w:themeColor="text1"/>
          <w:lang w:val="en"/>
        </w:rPr>
        <w:t>Unit: CNY</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842"/>
        <w:gridCol w:w="1985"/>
        <w:gridCol w:w="1984"/>
        <w:gridCol w:w="1862"/>
      </w:tblGrid>
      <w:tr w:rsidR="00141B44" w:rsidRPr="00141B44" w:rsidTr="00BF07C3">
        <w:trPr>
          <w:jc w:val="center"/>
        </w:trPr>
        <w:tc>
          <w:tcPr>
            <w:tcW w:w="1961" w:type="dxa"/>
            <w:vAlign w:val="center"/>
          </w:tcPr>
          <w:p w:rsidR="00141B44" w:rsidRPr="00141B44" w:rsidRDefault="00141B44" w:rsidP="00141B44">
            <w:pPr>
              <w:jc w:val="center"/>
              <w:rPr>
                <w:rFonts w:ascii="宋体" w:eastAsia="宋体" w:hAnsi="宋体" w:cs="Times New Roman"/>
              </w:rPr>
            </w:pPr>
          </w:p>
        </w:tc>
        <w:tc>
          <w:tcPr>
            <w:tcW w:w="1842" w:type="dxa"/>
            <w:vAlign w:val="center"/>
          </w:tcPr>
          <w:p w:rsidR="00141B44" w:rsidRPr="00141B44" w:rsidRDefault="00141B44" w:rsidP="00141B44">
            <w:pPr>
              <w:jc w:val="center"/>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First Quarter</w:t>
            </w:r>
          </w:p>
        </w:tc>
        <w:tc>
          <w:tcPr>
            <w:tcW w:w="1985" w:type="dxa"/>
            <w:vAlign w:val="center"/>
          </w:tcPr>
          <w:p w:rsidR="00141B44" w:rsidRPr="00141B44" w:rsidRDefault="00141B44" w:rsidP="00141B44">
            <w:pPr>
              <w:jc w:val="center"/>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Second Quarter</w:t>
            </w:r>
          </w:p>
        </w:tc>
        <w:tc>
          <w:tcPr>
            <w:tcW w:w="1984" w:type="dxa"/>
            <w:vAlign w:val="center"/>
          </w:tcPr>
          <w:p w:rsidR="00141B44" w:rsidRPr="00141B44" w:rsidRDefault="00141B44" w:rsidP="00141B44">
            <w:pPr>
              <w:jc w:val="center"/>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Third quarter</w:t>
            </w:r>
          </w:p>
        </w:tc>
        <w:tc>
          <w:tcPr>
            <w:tcW w:w="1862" w:type="dxa"/>
            <w:vAlign w:val="center"/>
          </w:tcPr>
          <w:p w:rsidR="00141B44" w:rsidRPr="00141B44" w:rsidRDefault="00141B44" w:rsidP="00141B44">
            <w:pPr>
              <w:jc w:val="center"/>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Fourth quarter</w:t>
            </w:r>
          </w:p>
        </w:tc>
      </w:tr>
      <w:tr w:rsidR="00141B44" w:rsidRPr="00141B44" w:rsidTr="00BF07C3">
        <w:trPr>
          <w:jc w:val="center"/>
        </w:trPr>
        <w:tc>
          <w:tcPr>
            <w:tcW w:w="1961" w:type="dxa"/>
            <w:vAlign w:val="center"/>
          </w:tcPr>
          <w:p w:rsidR="00141B44" w:rsidRPr="00141B44" w:rsidRDefault="00141B44" w:rsidP="00141B44">
            <w:pPr>
              <w:kinsoku w:val="0"/>
              <w:overflowPunct w:val="0"/>
              <w:autoSpaceDE w:val="0"/>
              <w:autoSpaceDN w:val="0"/>
              <w:adjustRightInd w:val="0"/>
              <w:snapToGrid w:val="0"/>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Operating income</w:t>
            </w:r>
          </w:p>
        </w:tc>
        <w:tc>
          <w:tcPr>
            <w:tcW w:w="184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3,698,994,031.12</w:t>
            </w:r>
          </w:p>
        </w:tc>
        <w:tc>
          <w:tcPr>
            <w:tcW w:w="1985"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4,106,603,396.20</w:t>
            </w:r>
          </w:p>
        </w:tc>
        <w:tc>
          <w:tcPr>
            <w:tcW w:w="1984"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3,881,930,177.93</w:t>
            </w:r>
          </w:p>
        </w:tc>
        <w:tc>
          <w:tcPr>
            <w:tcW w:w="186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3,652,513,451.99</w:t>
            </w:r>
          </w:p>
        </w:tc>
      </w:tr>
      <w:tr w:rsidR="00141B44" w:rsidRPr="00141B44" w:rsidTr="00BF07C3">
        <w:trPr>
          <w:jc w:val="center"/>
        </w:trPr>
        <w:tc>
          <w:tcPr>
            <w:tcW w:w="1961" w:type="dxa"/>
            <w:vAlign w:val="center"/>
          </w:tcPr>
          <w:p w:rsidR="00141B44" w:rsidRPr="00141B44" w:rsidRDefault="00141B44" w:rsidP="00141B44">
            <w:pPr>
              <w:kinsoku w:val="0"/>
              <w:overflowPunct w:val="0"/>
              <w:autoSpaceDE w:val="0"/>
              <w:autoSpaceDN w:val="0"/>
              <w:adjustRightInd w:val="0"/>
              <w:snapToGrid w:val="0"/>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 xml:space="preserve">Net profits attributable to shareholders of the </w:t>
            </w:r>
            <w:proofErr w:type="spellStart"/>
            <w:r w:rsidRPr="00141B44">
              <w:rPr>
                <w:rFonts w:ascii="Times New Roman" w:eastAsia="宋体" w:hAnsi="Times New Roman" w:cs="Times New Roman"/>
                <w:color w:val="000000" w:themeColor="text1"/>
                <w:szCs w:val="21"/>
              </w:rPr>
              <w:t>the</w:t>
            </w:r>
            <w:proofErr w:type="spellEnd"/>
            <w:r w:rsidRPr="00141B44">
              <w:rPr>
                <w:rFonts w:ascii="Times New Roman" w:eastAsia="宋体" w:hAnsi="Times New Roman" w:cs="Times New Roman"/>
                <w:color w:val="000000" w:themeColor="text1"/>
                <w:szCs w:val="21"/>
              </w:rPr>
              <w:t xml:space="preserve"> listed company</w:t>
            </w:r>
          </w:p>
        </w:tc>
        <w:tc>
          <w:tcPr>
            <w:tcW w:w="184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701,974,570.75</w:t>
            </w:r>
          </w:p>
        </w:tc>
        <w:tc>
          <w:tcPr>
            <w:tcW w:w="1985"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602,416,917.13</w:t>
            </w:r>
          </w:p>
        </w:tc>
        <w:tc>
          <w:tcPr>
            <w:tcW w:w="1984"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324,528,176.33</w:t>
            </w:r>
          </w:p>
        </w:tc>
        <w:tc>
          <w:tcPr>
            <w:tcW w:w="186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282,683,832.35</w:t>
            </w:r>
          </w:p>
        </w:tc>
      </w:tr>
      <w:tr w:rsidR="00141B44" w:rsidRPr="00141B44" w:rsidTr="00BF07C3">
        <w:trPr>
          <w:jc w:val="center"/>
        </w:trPr>
        <w:tc>
          <w:tcPr>
            <w:tcW w:w="1961" w:type="dxa"/>
            <w:vAlign w:val="center"/>
          </w:tcPr>
          <w:p w:rsidR="00141B44" w:rsidRPr="00141B44" w:rsidRDefault="00141B44" w:rsidP="00141B44">
            <w:pPr>
              <w:kinsoku w:val="0"/>
              <w:overflowPunct w:val="0"/>
              <w:autoSpaceDE w:val="0"/>
              <w:autoSpaceDN w:val="0"/>
              <w:adjustRightInd w:val="0"/>
              <w:snapToGrid w:val="0"/>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Net profits attributable to shareholders of The listed company after deduction of non-recurring gains and losses</w:t>
            </w:r>
          </w:p>
        </w:tc>
        <w:tc>
          <w:tcPr>
            <w:tcW w:w="184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678,128,782.15</w:t>
            </w:r>
          </w:p>
        </w:tc>
        <w:tc>
          <w:tcPr>
            <w:tcW w:w="1985"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575,760,548.81</w:t>
            </w:r>
          </w:p>
        </w:tc>
        <w:tc>
          <w:tcPr>
            <w:tcW w:w="1984"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293,186,370.43</w:t>
            </w:r>
          </w:p>
        </w:tc>
        <w:tc>
          <w:tcPr>
            <w:tcW w:w="186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233,700,787.23</w:t>
            </w:r>
          </w:p>
        </w:tc>
      </w:tr>
      <w:tr w:rsidR="00141B44" w:rsidRPr="00141B44" w:rsidTr="00BF07C3">
        <w:trPr>
          <w:jc w:val="center"/>
        </w:trPr>
        <w:tc>
          <w:tcPr>
            <w:tcW w:w="1961" w:type="dxa"/>
            <w:vAlign w:val="center"/>
          </w:tcPr>
          <w:p w:rsidR="00141B44" w:rsidRPr="00141B44" w:rsidRDefault="00141B44" w:rsidP="00141B44">
            <w:pPr>
              <w:kinsoku w:val="0"/>
              <w:overflowPunct w:val="0"/>
              <w:autoSpaceDE w:val="0"/>
              <w:autoSpaceDN w:val="0"/>
              <w:adjustRightInd w:val="0"/>
              <w:snapToGrid w:val="0"/>
              <w:rPr>
                <w:rFonts w:ascii="Times New Roman" w:eastAsia="宋体" w:hAnsi="Times New Roman" w:cs="Times New Roman"/>
                <w:color w:val="000000" w:themeColor="text1"/>
                <w:szCs w:val="21"/>
              </w:rPr>
            </w:pPr>
            <w:r w:rsidRPr="00141B44">
              <w:rPr>
                <w:rFonts w:ascii="Times New Roman" w:eastAsia="宋体" w:hAnsi="Times New Roman" w:cs="Times New Roman"/>
                <w:color w:val="000000" w:themeColor="text1"/>
                <w:szCs w:val="21"/>
              </w:rPr>
              <w:t>Net cash flow from operating activities</w:t>
            </w:r>
          </w:p>
        </w:tc>
        <w:tc>
          <w:tcPr>
            <w:tcW w:w="184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-494,777,529.29</w:t>
            </w:r>
          </w:p>
        </w:tc>
        <w:tc>
          <w:tcPr>
            <w:tcW w:w="1985"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1,327,897,857.29</w:t>
            </w:r>
          </w:p>
        </w:tc>
        <w:tc>
          <w:tcPr>
            <w:tcW w:w="1984"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-192,170,530.98</w:t>
            </w:r>
          </w:p>
        </w:tc>
        <w:tc>
          <w:tcPr>
            <w:tcW w:w="1862" w:type="dxa"/>
            <w:vAlign w:val="center"/>
          </w:tcPr>
          <w:p w:rsidR="00141B44" w:rsidRPr="00141B44" w:rsidRDefault="00141B44" w:rsidP="00141B44">
            <w:pPr>
              <w:jc w:val="right"/>
              <w:rPr>
                <w:rFonts w:ascii="宋体" w:eastAsia="宋体" w:hAnsi="宋体" w:cs="Times New Roman"/>
                <w:sz w:val="20"/>
              </w:rPr>
            </w:pPr>
            <w:r w:rsidRPr="00141B44">
              <w:rPr>
                <w:rFonts w:ascii="宋体" w:eastAsia="宋体" w:hAnsi="宋体" w:cs="Times New Roman"/>
                <w:sz w:val="20"/>
              </w:rPr>
              <w:t>476,856,590.27</w:t>
            </w:r>
          </w:p>
        </w:tc>
      </w:tr>
    </w:tbl>
    <w:p w:rsidR="00141B44" w:rsidRPr="00915114" w:rsidRDefault="00141B44" w:rsidP="00915114">
      <w:pPr>
        <w:rPr>
          <w:rFonts w:ascii="Times New Roman" w:hAnsi="Times New Roman" w:cs="Times New Roman"/>
          <w:color w:val="000000" w:themeColor="text1"/>
          <w:lang w:val="en"/>
        </w:rPr>
      </w:pPr>
    </w:p>
    <w:p w:rsidR="00915114" w:rsidRPr="00915114" w:rsidRDefault="00915114" w:rsidP="00915114">
      <w:pPr>
        <w:keepNext/>
        <w:keepLines/>
        <w:numPr>
          <w:ilvl w:val="1"/>
          <w:numId w:val="1"/>
        </w:numPr>
        <w:spacing w:before="60" w:after="60"/>
        <w:ind w:left="498" w:hangingChars="236" w:hanging="498"/>
        <w:outlineLvl w:val="1"/>
        <w:rPr>
          <w:rFonts w:ascii="Times New Roman" w:eastAsia="宋体" w:hAnsi="Times New Roman" w:cs="Times New Roman"/>
          <w:b/>
          <w:bCs/>
          <w:color w:val="000000" w:themeColor="text1"/>
          <w:szCs w:val="21"/>
          <w:lang w:val="en"/>
        </w:rPr>
      </w:pPr>
      <w:r w:rsidRPr="00915114">
        <w:rPr>
          <w:rFonts w:ascii="Times New Roman" w:eastAsia="宋体" w:hAnsi="Times New Roman" w:cs="Times New Roman"/>
          <w:b/>
          <w:bCs/>
          <w:color w:val="000000" w:themeColor="text1"/>
          <w:szCs w:val="21"/>
          <w:lang w:val="en"/>
        </w:rPr>
        <w:t>Discussion and Analysis of Business Situation</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PTL is committed to becoming a </w:t>
      </w:r>
      <w:r w:rsidRPr="00915114">
        <w:rPr>
          <w:rFonts w:ascii="Times New Roman" w:hAnsi="Times New Roman" w:cs="Times New Roman" w:hint="eastAsia"/>
          <w:color w:val="000000" w:themeColor="text1"/>
          <w:lang w:val="en"/>
        </w:rPr>
        <w:t xml:space="preserve">leading </w:t>
      </w:r>
      <w:r w:rsidRPr="00915114">
        <w:rPr>
          <w:rFonts w:ascii="Times New Roman" w:hAnsi="Times New Roman" w:cs="Times New Roman"/>
          <w:color w:val="000000" w:themeColor="text1"/>
          <w:lang w:val="en"/>
        </w:rPr>
        <w:t xml:space="preserve">provider </w:t>
      </w:r>
      <w:r w:rsidRPr="00915114">
        <w:rPr>
          <w:rFonts w:ascii="Times New Roman" w:hAnsi="Times New Roman" w:cs="Times New Roman" w:hint="eastAsia"/>
          <w:color w:val="000000" w:themeColor="text1"/>
          <w:lang w:val="en"/>
        </w:rPr>
        <w:t xml:space="preserve">of comprehensive solutions </w:t>
      </w:r>
      <w:r w:rsidRPr="00915114">
        <w:rPr>
          <w:rFonts w:ascii="Times New Roman" w:hAnsi="Times New Roman" w:cs="Times New Roman"/>
          <w:color w:val="000000" w:themeColor="text1"/>
          <w:lang w:val="en"/>
        </w:rPr>
        <w:t xml:space="preserve">for key materials and automation equipment </w:t>
      </w:r>
      <w:r w:rsidRPr="00915114">
        <w:rPr>
          <w:rFonts w:ascii="Times New Roman" w:hAnsi="Times New Roman" w:cs="Times New Roman" w:hint="eastAsia"/>
          <w:color w:val="000000" w:themeColor="text1"/>
          <w:lang w:val="en"/>
        </w:rPr>
        <w:t xml:space="preserve">in the </w:t>
      </w:r>
      <w:r w:rsidRPr="00915114">
        <w:rPr>
          <w:rFonts w:ascii="Times New Roman" w:hAnsi="Times New Roman" w:cs="Times New Roman"/>
          <w:color w:val="000000" w:themeColor="text1"/>
          <w:lang w:val="en"/>
        </w:rPr>
        <w:t>new energy batter</w:t>
      </w:r>
      <w:r w:rsidRPr="00915114">
        <w:rPr>
          <w:rFonts w:ascii="Times New Roman" w:hAnsi="Times New Roman" w:cs="Times New Roman" w:hint="eastAsia"/>
          <w:color w:val="000000" w:themeColor="text1"/>
          <w:lang w:val="en"/>
        </w:rPr>
        <w:t>y industry</w:t>
      </w:r>
      <w:r w:rsidRPr="00915114">
        <w:rPr>
          <w:rFonts w:ascii="Times New Roman" w:hAnsi="Times New Roman" w:cs="Times New Roman"/>
          <w:color w:val="000000" w:themeColor="text1"/>
          <w:lang w:val="en"/>
        </w:rPr>
        <w:t>. Our main business covers anode material</w:t>
      </w:r>
      <w:r w:rsidRPr="00915114">
        <w:rPr>
          <w:rFonts w:ascii="Times New Roman" w:hAnsi="Times New Roman" w:cs="Times New Roman" w:hint="eastAsia"/>
          <w:color w:val="000000" w:themeColor="text1"/>
          <w:lang w:val="en"/>
        </w:rPr>
        <w:t>s</w:t>
      </w:r>
      <w:r w:rsidRPr="00915114">
        <w:rPr>
          <w:rFonts w:ascii="Times New Roman" w:hAnsi="Times New Roman" w:cs="Times New Roman"/>
          <w:color w:val="000000" w:themeColor="text1"/>
          <w:lang w:val="en"/>
        </w:rPr>
        <w:t xml:space="preserve">, separator and coating, PVDF and binders, composite current collectors, aluminum-plastic packaging films, </w:t>
      </w:r>
      <w:proofErr w:type="spellStart"/>
      <w:r w:rsidRPr="00915114">
        <w:rPr>
          <w:rFonts w:ascii="Times New Roman" w:hAnsi="Times New Roman" w:cs="Times New Roman"/>
          <w:color w:val="000000" w:themeColor="text1"/>
          <w:lang w:val="en"/>
        </w:rPr>
        <w:t>nano</w:t>
      </w:r>
      <w:proofErr w:type="spellEnd"/>
      <w:r w:rsidRPr="00915114">
        <w:rPr>
          <w:rFonts w:ascii="Times New Roman" w:hAnsi="Times New Roman" w:cs="Times New Roman"/>
          <w:color w:val="000000" w:themeColor="text1"/>
          <w:lang w:val="en"/>
        </w:rPr>
        <w:t xml:space="preserve">-alumina and </w:t>
      </w:r>
      <w:proofErr w:type="spellStart"/>
      <w:r w:rsidRPr="00915114">
        <w:rPr>
          <w:rFonts w:ascii="Times New Roman" w:hAnsi="Times New Roman" w:cs="Times New Roman"/>
          <w:color w:val="000000" w:themeColor="text1"/>
          <w:lang w:val="en"/>
        </w:rPr>
        <w:t>boehmite</w:t>
      </w:r>
      <w:proofErr w:type="spellEnd"/>
      <w:r w:rsidRPr="00915114">
        <w:rPr>
          <w:rFonts w:ascii="Times New Roman" w:hAnsi="Times New Roman" w:cs="Times New Roman"/>
          <w:color w:val="000000" w:themeColor="text1"/>
          <w:lang w:val="en"/>
        </w:rPr>
        <w:t xml:space="preserve"> materials</w:t>
      </w:r>
      <w:r w:rsidRPr="00915114">
        <w:rPr>
          <w:rFonts w:ascii="Times New Roman" w:hAnsi="Times New Roman" w:cs="Times New Roman" w:hint="eastAsia"/>
          <w:color w:val="000000" w:themeColor="text1"/>
          <w:lang w:val="en"/>
        </w:rPr>
        <w:t>. Mean</w:t>
      </w:r>
      <w:r w:rsidRPr="00915114">
        <w:rPr>
          <w:rFonts w:ascii="Times New Roman" w:hAnsi="Times New Roman" w:cs="Times New Roman"/>
          <w:color w:val="000000" w:themeColor="text1"/>
          <w:lang w:val="en"/>
        </w:rPr>
        <w:t>while</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 xml:space="preserve">we </w:t>
      </w:r>
      <w:r w:rsidRPr="00915114">
        <w:rPr>
          <w:rFonts w:ascii="Times New Roman" w:hAnsi="Times New Roman" w:cs="Times New Roman"/>
          <w:color w:val="000000" w:themeColor="text1"/>
          <w:lang w:val="en"/>
        </w:rPr>
        <w:t>provid</w:t>
      </w:r>
      <w:r w:rsidRPr="00915114">
        <w:rPr>
          <w:rFonts w:ascii="Times New Roman" w:hAnsi="Times New Roman" w:cs="Times New Roman" w:hint="eastAsia"/>
          <w:color w:val="000000" w:themeColor="text1"/>
          <w:lang w:val="en"/>
        </w:rPr>
        <w:t>e</w:t>
      </w:r>
      <w:r w:rsidRPr="00915114">
        <w:rPr>
          <w:rFonts w:ascii="Times New Roman" w:hAnsi="Times New Roman" w:cs="Times New Roman"/>
          <w:color w:val="000000" w:themeColor="text1"/>
          <w:lang w:val="en"/>
        </w:rPr>
        <w:t xml:space="preserve"> services for automated process equipment and intelligent manufacturing systems</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Through resource sharing and industrial collaboration among the three major business units of anode material, separator and coatings, and automation equipment, PTL </w:t>
      </w:r>
      <w:r w:rsidRPr="00915114">
        <w:rPr>
          <w:rFonts w:ascii="Times New Roman" w:hAnsi="Times New Roman" w:cs="Times New Roman" w:hint="eastAsia"/>
          <w:color w:val="000000" w:themeColor="text1"/>
          <w:lang w:val="en"/>
        </w:rPr>
        <w:t xml:space="preserve">delivers </w:t>
      </w:r>
      <w:r w:rsidRPr="00915114">
        <w:rPr>
          <w:rFonts w:ascii="Times New Roman" w:hAnsi="Times New Roman" w:cs="Times New Roman"/>
          <w:color w:val="000000" w:themeColor="text1"/>
          <w:lang w:val="en"/>
        </w:rPr>
        <w:t>diversified, differentiated, and specialized product combinations and integration services</w:t>
      </w:r>
      <w:r w:rsidRPr="00915114">
        <w:rPr>
          <w:rFonts w:ascii="Times New Roman" w:hAnsi="Times New Roman" w:cs="Times New Roman" w:hint="eastAsia"/>
          <w:color w:val="000000" w:themeColor="text1"/>
          <w:lang w:val="en"/>
        </w:rPr>
        <w:t xml:space="preserve"> to our customers</w:t>
      </w:r>
      <w:r w:rsidRPr="00915114">
        <w:rPr>
          <w:rFonts w:ascii="Times New Roman" w:hAnsi="Times New Roman" w:cs="Times New Roman"/>
          <w:color w:val="000000" w:themeColor="text1"/>
          <w:lang w:val="en"/>
        </w:rPr>
        <w:t>.</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2023, PTL achieved a revenue of CNY 15.34 billion and a net profit attributable to shareholders of the listed company </w:t>
      </w:r>
      <w:r w:rsidRPr="00915114">
        <w:rPr>
          <w:rFonts w:ascii="Times New Roman" w:hAnsi="Times New Roman" w:cs="Times New Roman" w:hint="eastAsia"/>
          <w:color w:val="000000" w:themeColor="text1"/>
          <w:lang w:val="en"/>
        </w:rPr>
        <w:t xml:space="preserve">totaling </w:t>
      </w:r>
      <w:r w:rsidRPr="00915114">
        <w:rPr>
          <w:rFonts w:ascii="Times New Roman" w:hAnsi="Times New Roman" w:cs="Times New Roman"/>
          <w:color w:val="000000" w:themeColor="text1"/>
          <w:lang w:val="en"/>
        </w:rPr>
        <w:t>CNY 1.91 billion.</w:t>
      </w:r>
    </w:p>
    <w:p w:rsidR="00915114" w:rsidRPr="00915114" w:rsidRDefault="00915114" w:rsidP="00915114">
      <w:pPr>
        <w:spacing w:line="276" w:lineRule="auto"/>
        <w:ind w:firstLineChars="200" w:firstLine="420"/>
        <w:rPr>
          <w:rFonts w:ascii="Times New Roman" w:hAnsi="Times New Roman" w:cs="Times New Roman"/>
          <w:b/>
          <w:color w:val="000000" w:themeColor="text1"/>
          <w:lang w:val="en"/>
        </w:rPr>
      </w:pPr>
      <w:r w:rsidRPr="00915114">
        <w:rPr>
          <w:rFonts w:ascii="Times New Roman" w:hAnsi="Times New Roman" w:cs="Times New Roman"/>
          <w:b/>
          <w:color w:val="000000" w:themeColor="text1"/>
          <w:lang w:val="en"/>
        </w:rPr>
        <w:t>1</w:t>
      </w:r>
      <w:r w:rsidRPr="00915114">
        <w:rPr>
          <w:rFonts w:ascii="Times New Roman" w:hAnsi="Times New Roman" w:cs="Times New Roman" w:hint="eastAsia"/>
          <w:b/>
          <w:color w:val="000000" w:themeColor="text1"/>
          <w:lang w:val="en"/>
        </w:rPr>
        <w:t>、</w:t>
      </w:r>
      <w:r w:rsidRPr="00915114">
        <w:rPr>
          <w:rFonts w:ascii="Times New Roman" w:hAnsi="Times New Roman" w:cs="Times New Roman"/>
          <w:b/>
          <w:color w:val="000000" w:themeColor="text1"/>
          <w:lang w:val="en"/>
        </w:rPr>
        <w:t>Anode Material</w:t>
      </w:r>
      <w:r w:rsidRPr="00915114">
        <w:rPr>
          <w:rFonts w:ascii="Times New Roman" w:hAnsi="Times New Roman" w:cs="Times New Roman" w:hint="eastAsia"/>
          <w:b/>
          <w:color w:val="000000" w:themeColor="text1"/>
          <w:lang w:val="en"/>
        </w:rPr>
        <w:t>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2023, PTL's anode material business achieved a shipment volume of 155,317 tons, </w:t>
      </w:r>
      <w:r w:rsidRPr="00915114">
        <w:rPr>
          <w:rFonts w:ascii="Times New Roman" w:hAnsi="Times New Roman" w:cs="Times New Roman" w:hint="eastAsia"/>
          <w:color w:val="000000" w:themeColor="text1"/>
          <w:lang w:val="en"/>
        </w:rPr>
        <w:t>making an 11.35%</w:t>
      </w:r>
      <w:r w:rsidRPr="00915114">
        <w:rPr>
          <w:rFonts w:ascii="Times New Roman" w:hAnsi="Times New Roman" w:cs="Times New Roman"/>
          <w:color w:val="000000" w:themeColor="text1"/>
          <w:lang w:val="en"/>
        </w:rPr>
        <w:t xml:space="preserve"> year-on-year increase</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 xml:space="preserve">However, </w:t>
      </w:r>
      <w:r w:rsidRPr="00915114">
        <w:rPr>
          <w:rFonts w:ascii="Times New Roman" w:hAnsi="Times New Roman" w:cs="Times New Roman"/>
          <w:color w:val="000000" w:themeColor="text1"/>
          <w:lang w:val="en"/>
        </w:rPr>
        <w:t>the main operating income of the anode material and graphite</w:t>
      </w:r>
      <w:r w:rsidR="00AD5E13">
        <w:rPr>
          <w:rFonts w:ascii="Times New Roman" w:hAnsi="Times New Roman" w:cs="Times New Roman"/>
          <w:color w:val="000000" w:themeColor="text1"/>
          <w:lang w:val="en"/>
        </w:rPr>
        <w:t xml:space="preserve"> business amounted to CNY 6,610.77</w:t>
      </w:r>
      <w:r w:rsidRPr="00915114">
        <w:rPr>
          <w:rFonts w:ascii="Times New Roman" w:hAnsi="Times New Roman" w:cs="Times New Roman"/>
          <w:color w:val="000000" w:themeColor="text1"/>
          <w:lang w:val="en"/>
        </w:rPr>
        <w:t xml:space="preserve"> million, </w:t>
      </w:r>
      <w:r w:rsidRPr="00915114">
        <w:rPr>
          <w:rFonts w:ascii="Times New Roman" w:hAnsi="Times New Roman" w:cs="Times New Roman" w:hint="eastAsia"/>
          <w:color w:val="000000" w:themeColor="text1"/>
          <w:lang w:val="en"/>
        </w:rPr>
        <w:t>reflecting</w:t>
      </w:r>
      <w:r w:rsidRPr="00915114">
        <w:rPr>
          <w:rFonts w:ascii="Times New Roman" w:hAnsi="Times New Roman" w:cs="Times New Roman"/>
          <w:color w:val="000000" w:themeColor="text1"/>
          <w:lang w:val="en"/>
        </w:rPr>
        <w:t xml:space="preserve"> a 16.01%</w:t>
      </w:r>
      <w:r w:rsidRPr="00915114">
        <w:rPr>
          <w:rFonts w:ascii="Times New Roman" w:hAnsi="Times New Roman" w:cs="Times New Roman" w:hint="eastAsia"/>
          <w:color w:val="000000" w:themeColor="text1"/>
          <w:lang w:val="en"/>
        </w:rPr>
        <w:t xml:space="preserve"> </w:t>
      </w:r>
      <w:r w:rsidRPr="00915114">
        <w:rPr>
          <w:rFonts w:ascii="Times New Roman" w:hAnsi="Times New Roman" w:cs="Times New Roman"/>
          <w:color w:val="000000" w:themeColor="text1"/>
          <w:lang w:val="en"/>
        </w:rPr>
        <w:t>year-on-year decrease.</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2023, </w:t>
      </w:r>
      <w:r w:rsidRPr="00915114">
        <w:rPr>
          <w:rFonts w:ascii="Times New Roman" w:hAnsi="Times New Roman" w:cs="Times New Roman" w:hint="eastAsia"/>
          <w:color w:val="000000" w:themeColor="text1"/>
          <w:lang w:val="en"/>
        </w:rPr>
        <w:t>the anode material market faced challenges from oversupply and destocking by</w:t>
      </w:r>
      <w:r w:rsidRPr="00915114">
        <w:rPr>
          <w:rFonts w:ascii="Times New Roman" w:hAnsi="Times New Roman" w:cs="Times New Roman"/>
          <w:strike/>
          <w:color w:val="000000" w:themeColor="text1"/>
          <w:lang w:val="en"/>
        </w:rPr>
        <w:t xml:space="preserve"> </w:t>
      </w:r>
      <w:r w:rsidRPr="00915114">
        <w:rPr>
          <w:rFonts w:ascii="Times New Roman" w:hAnsi="Times New Roman" w:cs="Times New Roman"/>
          <w:color w:val="000000" w:themeColor="text1"/>
          <w:lang w:val="en"/>
        </w:rPr>
        <w:t>downstream battery customers,</w:t>
      </w:r>
      <w:r w:rsidRPr="00915114">
        <w:rPr>
          <w:rFonts w:ascii="Times New Roman" w:hAnsi="Times New Roman" w:cs="Times New Roman" w:hint="eastAsia"/>
          <w:color w:val="000000" w:themeColor="text1"/>
          <w:lang w:val="en"/>
        </w:rPr>
        <w:t xml:space="preserve"> leading to a continued decline in product</w:t>
      </w:r>
      <w:r w:rsidRPr="00915114">
        <w:rPr>
          <w:rFonts w:ascii="Times New Roman" w:hAnsi="Times New Roman" w:cs="Times New Roman"/>
          <w:color w:val="000000" w:themeColor="text1"/>
          <w:lang w:val="en"/>
        </w:rPr>
        <w:t xml:space="preserve"> selling price.</w:t>
      </w:r>
      <w:r w:rsidRPr="00915114">
        <w:rPr>
          <w:rFonts w:ascii="Times New Roman" w:hAnsi="Times New Roman" w:cs="Times New Roman" w:hint="eastAsia"/>
          <w:color w:val="000000" w:themeColor="text1"/>
          <w:lang w:val="en"/>
        </w:rPr>
        <w:t xml:space="preserve"> These market dynamics, coupled with </w:t>
      </w:r>
      <w:r w:rsidRPr="00915114">
        <w:rPr>
          <w:rFonts w:ascii="Times New Roman" w:hAnsi="Times New Roman" w:cs="Times New Roman"/>
          <w:color w:val="000000" w:themeColor="text1"/>
          <w:lang w:val="en"/>
        </w:rPr>
        <w:t xml:space="preserve">changes in customer product </w:t>
      </w:r>
      <w:r w:rsidRPr="00915114">
        <w:rPr>
          <w:rFonts w:ascii="Times New Roman" w:hAnsi="Times New Roman" w:cs="Times New Roman" w:hint="eastAsia"/>
          <w:color w:val="000000" w:themeColor="text1"/>
          <w:lang w:val="en"/>
        </w:rPr>
        <w:t xml:space="preserve">preferences </w:t>
      </w:r>
      <w:r w:rsidRPr="00915114">
        <w:rPr>
          <w:rFonts w:ascii="Times New Roman" w:hAnsi="Times New Roman" w:cs="Times New Roman"/>
          <w:color w:val="000000" w:themeColor="text1"/>
          <w:lang w:val="en"/>
        </w:rPr>
        <w:t>and raw material properties</w:t>
      </w:r>
      <w:r w:rsidRPr="00915114">
        <w:rPr>
          <w:rFonts w:ascii="Times New Roman" w:hAnsi="Times New Roman" w:cs="Times New Roman" w:hint="eastAsia"/>
          <w:color w:val="000000" w:themeColor="text1"/>
          <w:lang w:val="en"/>
        </w:rPr>
        <w:t>,</w:t>
      </w:r>
      <w:r w:rsidRPr="00915114">
        <w:rPr>
          <w:rFonts w:ascii="Times New Roman" w:hAnsi="Times New Roman" w:cs="Times New Roman"/>
          <w:strike/>
          <w:color w:val="000000" w:themeColor="text1"/>
          <w:lang w:val="en"/>
        </w:rPr>
        <w:t xml:space="preserve"> </w:t>
      </w:r>
      <w:r w:rsidRPr="00915114">
        <w:rPr>
          <w:rFonts w:ascii="Times New Roman" w:hAnsi="Times New Roman" w:cs="Times New Roman"/>
          <w:color w:val="000000" w:themeColor="text1"/>
          <w:lang w:val="en"/>
        </w:rPr>
        <w:t xml:space="preserve">affected the company's production process and the cost. </w:t>
      </w:r>
      <w:r w:rsidRPr="00915114">
        <w:rPr>
          <w:rFonts w:ascii="Times New Roman" w:hAnsi="Times New Roman" w:cs="Times New Roman" w:hint="eastAsia"/>
          <w:color w:val="000000" w:themeColor="text1"/>
          <w:lang w:val="en"/>
        </w:rPr>
        <w:t xml:space="preserve">Consequently, </w:t>
      </w:r>
      <w:r w:rsidRPr="00915114">
        <w:rPr>
          <w:rFonts w:ascii="Times New Roman" w:hAnsi="Times New Roman" w:cs="Times New Roman"/>
          <w:color w:val="000000" w:themeColor="text1"/>
          <w:lang w:val="en"/>
        </w:rPr>
        <w:t>the</w:t>
      </w:r>
      <w:r w:rsidRPr="00915114">
        <w:rPr>
          <w:rFonts w:ascii="Times New Roman" w:hAnsi="Times New Roman" w:cs="Times New Roman" w:hint="eastAsia"/>
          <w:color w:val="000000" w:themeColor="text1"/>
          <w:lang w:val="en"/>
        </w:rPr>
        <w:t xml:space="preserve"> company made provisions for</w:t>
      </w:r>
      <w:r w:rsidRPr="00915114">
        <w:rPr>
          <w:rFonts w:ascii="Times New Roman" w:hAnsi="Times New Roman" w:cs="Times New Roman"/>
          <w:color w:val="000000" w:themeColor="text1"/>
          <w:lang w:val="en"/>
        </w:rPr>
        <w:t xml:space="preserve"> inventory depreciation</w:t>
      </w:r>
      <w:r w:rsidRPr="00915114">
        <w:rPr>
          <w:rFonts w:ascii="Times New Roman" w:hAnsi="Times New Roman" w:cs="Times New Roman" w:hint="eastAsia"/>
          <w:color w:val="000000" w:themeColor="text1"/>
          <w:lang w:val="en"/>
        </w:rPr>
        <w:t xml:space="preserve"> for </w:t>
      </w:r>
      <w:r w:rsidRPr="00915114">
        <w:rPr>
          <w:rFonts w:ascii="Times New Roman" w:hAnsi="Times New Roman" w:cs="Times New Roman"/>
          <w:color w:val="000000" w:themeColor="text1"/>
          <w:lang w:val="en"/>
        </w:rPr>
        <w:t xml:space="preserve">sluggish consumption of high-priced inventory in the </w:t>
      </w:r>
      <w:r w:rsidRPr="00915114">
        <w:rPr>
          <w:rFonts w:ascii="Times New Roman" w:hAnsi="Times New Roman" w:cs="Times New Roman"/>
          <w:color w:val="000000" w:themeColor="text1"/>
          <w:lang w:val="en"/>
        </w:rPr>
        <w:lastRenderedPageBreak/>
        <w:t>initial phase.</w:t>
      </w:r>
      <w:r w:rsidRPr="00915114">
        <w:rPr>
          <w:rFonts w:ascii="Times New Roman" w:hAnsi="Times New Roman" w:cs="Times New Roman" w:hint="eastAsia"/>
          <w:color w:val="000000" w:themeColor="text1"/>
          <w:lang w:val="en"/>
        </w:rPr>
        <w:t xml:space="preserve"> These factors resulted in a narrowing of</w:t>
      </w:r>
      <w:r w:rsidRPr="00915114">
        <w:rPr>
          <w:rFonts w:ascii="Times New Roman" w:hAnsi="Times New Roman" w:cs="Times New Roman"/>
          <w:color w:val="000000" w:themeColor="text1"/>
          <w:lang w:val="en"/>
        </w:rPr>
        <w:t xml:space="preserve"> the gross profit margin</w:t>
      </w:r>
      <w:r w:rsidRPr="00915114">
        <w:rPr>
          <w:rFonts w:ascii="Times New Roman" w:hAnsi="Times New Roman" w:cs="Times New Roman" w:hint="eastAsia"/>
          <w:color w:val="000000" w:themeColor="text1"/>
          <w:lang w:val="en"/>
        </w:rPr>
        <w:t xml:space="preserve"> and operational pressure for</w:t>
      </w:r>
      <w:r w:rsidRPr="00915114">
        <w:rPr>
          <w:rFonts w:ascii="Times New Roman" w:hAnsi="Times New Roman" w:cs="Times New Roman"/>
          <w:color w:val="000000" w:themeColor="text1"/>
          <w:lang w:val="en"/>
        </w:rPr>
        <w:t xml:space="preserve"> company's anode material products. As of the end of 2023, the inventory scale and cost of the company's anode materials have significantly improved compared to the beginning of the year.</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response to </w:t>
      </w:r>
      <w:r w:rsidRPr="00915114">
        <w:rPr>
          <w:rFonts w:ascii="Times New Roman" w:hAnsi="Times New Roman" w:cs="Times New Roman" w:hint="eastAsia"/>
          <w:color w:val="000000" w:themeColor="text1"/>
          <w:lang w:val="en"/>
        </w:rPr>
        <w:t>these challenges</w:t>
      </w:r>
      <w:r w:rsidRPr="00915114">
        <w:rPr>
          <w:rFonts w:ascii="Times New Roman" w:hAnsi="Times New Roman" w:cs="Times New Roman"/>
          <w:color w:val="000000" w:themeColor="text1"/>
          <w:lang w:val="en"/>
        </w:rPr>
        <w:t xml:space="preserve">, PTL accelerated R&amp;D </w:t>
      </w:r>
      <w:r w:rsidRPr="00915114">
        <w:rPr>
          <w:rFonts w:ascii="Times New Roman" w:hAnsi="Times New Roman" w:cs="Times New Roman" w:hint="eastAsia"/>
          <w:color w:val="000000" w:themeColor="text1"/>
          <w:lang w:val="en"/>
        </w:rPr>
        <w:t>efforts</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 xml:space="preserve">in </w:t>
      </w:r>
      <w:r w:rsidRPr="00915114">
        <w:rPr>
          <w:rFonts w:ascii="Times New Roman" w:hAnsi="Times New Roman" w:cs="Times New Roman"/>
          <w:color w:val="000000" w:themeColor="text1"/>
          <w:lang w:val="en"/>
        </w:rPr>
        <w:t xml:space="preserve">non-petrochemical raw materials and high-pressure fast charging products, </w:t>
      </w:r>
      <w:r w:rsidRPr="00915114">
        <w:rPr>
          <w:rFonts w:ascii="Times New Roman" w:hAnsi="Times New Roman" w:cs="Times New Roman" w:hint="eastAsia"/>
          <w:color w:val="000000" w:themeColor="text1"/>
          <w:lang w:val="en"/>
        </w:rPr>
        <w:t xml:space="preserve">tailored </w:t>
      </w:r>
      <w:r w:rsidRPr="00915114">
        <w:rPr>
          <w:rFonts w:ascii="Times New Roman" w:hAnsi="Times New Roman" w:cs="Times New Roman"/>
          <w:color w:val="000000" w:themeColor="text1"/>
          <w:lang w:val="en"/>
        </w:rPr>
        <w:t xml:space="preserve">production processes to </w:t>
      </w:r>
      <w:r w:rsidRPr="00915114">
        <w:rPr>
          <w:rFonts w:ascii="Times New Roman" w:hAnsi="Times New Roman" w:cs="Times New Roman" w:hint="eastAsia"/>
          <w:color w:val="000000" w:themeColor="text1"/>
          <w:lang w:val="en"/>
        </w:rPr>
        <w:t xml:space="preserve">meet </w:t>
      </w:r>
      <w:r w:rsidRPr="00915114">
        <w:rPr>
          <w:rFonts w:ascii="Times New Roman" w:hAnsi="Times New Roman" w:cs="Times New Roman"/>
          <w:color w:val="000000" w:themeColor="text1"/>
          <w:lang w:val="en"/>
        </w:rPr>
        <w:t xml:space="preserve">customer requirements, and achieved the introduction of some </w:t>
      </w:r>
      <w:r w:rsidRPr="00915114">
        <w:rPr>
          <w:rFonts w:ascii="Times New Roman" w:hAnsi="Times New Roman" w:cs="Times New Roman" w:hint="eastAsia"/>
          <w:color w:val="000000" w:themeColor="text1"/>
          <w:lang w:val="en"/>
        </w:rPr>
        <w:t xml:space="preserve">introduced </w:t>
      </w:r>
      <w:r w:rsidRPr="00915114">
        <w:rPr>
          <w:rFonts w:ascii="Times New Roman" w:hAnsi="Times New Roman" w:cs="Times New Roman"/>
          <w:color w:val="000000" w:themeColor="text1"/>
          <w:lang w:val="en"/>
        </w:rPr>
        <w:t xml:space="preserve">cost-effective new products. With the consumption of historical high cost inventory, innovation </w:t>
      </w:r>
      <w:r w:rsidRPr="00915114">
        <w:rPr>
          <w:rFonts w:ascii="Times New Roman" w:hAnsi="Times New Roman" w:cs="Times New Roman" w:hint="eastAsia"/>
          <w:color w:val="000000" w:themeColor="text1"/>
          <w:lang w:val="en"/>
        </w:rPr>
        <w:t xml:space="preserve">in </w:t>
      </w:r>
      <w:r w:rsidRPr="00915114">
        <w:rPr>
          <w:rFonts w:ascii="Times New Roman" w:hAnsi="Times New Roman" w:cs="Times New Roman"/>
          <w:color w:val="000000" w:themeColor="text1"/>
          <w:lang w:val="en"/>
        </w:rPr>
        <w:t xml:space="preserve">non-petrochemical raw materials, and </w:t>
      </w:r>
      <w:r w:rsidRPr="00915114">
        <w:rPr>
          <w:rFonts w:ascii="Times New Roman" w:hAnsi="Times New Roman" w:cs="Times New Roman" w:hint="eastAsia"/>
          <w:color w:val="000000" w:themeColor="text1"/>
          <w:lang w:val="en"/>
        </w:rPr>
        <w:t xml:space="preserve">the growing adoption of </w:t>
      </w:r>
      <w:r w:rsidRPr="00915114">
        <w:rPr>
          <w:rFonts w:ascii="Times New Roman" w:hAnsi="Times New Roman" w:cs="Times New Roman"/>
          <w:color w:val="000000" w:themeColor="text1"/>
          <w:lang w:val="en"/>
        </w:rPr>
        <w:t>high-pressure fast charging products,</w:t>
      </w:r>
      <w:r w:rsidRPr="00915114">
        <w:rPr>
          <w:rFonts w:ascii="Times New Roman" w:hAnsi="Times New Roman" w:cs="Times New Roman" w:hint="eastAsia"/>
          <w:color w:val="000000" w:themeColor="text1"/>
          <w:lang w:val="en"/>
        </w:rPr>
        <w:t xml:space="preserve"> PTL</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 xml:space="preserve">anticipates a significant improvement in </w:t>
      </w:r>
      <w:r w:rsidRPr="00915114">
        <w:rPr>
          <w:rFonts w:ascii="Times New Roman" w:hAnsi="Times New Roman" w:cs="Times New Roman"/>
          <w:color w:val="000000" w:themeColor="text1"/>
          <w:lang w:val="en"/>
        </w:rPr>
        <w:t>the profitability of</w:t>
      </w:r>
      <w:r w:rsidRPr="00915114">
        <w:rPr>
          <w:rFonts w:ascii="Times New Roman" w:hAnsi="Times New Roman" w:cs="Times New Roman" w:hint="eastAsia"/>
          <w:color w:val="000000" w:themeColor="text1"/>
          <w:lang w:val="en"/>
        </w:rPr>
        <w:t xml:space="preserve"> its </w:t>
      </w:r>
      <w:r w:rsidRPr="00915114">
        <w:rPr>
          <w:rFonts w:ascii="Times New Roman" w:hAnsi="Times New Roman" w:cs="Times New Roman"/>
          <w:color w:val="000000" w:themeColor="text1"/>
          <w:lang w:val="en"/>
        </w:rPr>
        <w:t>anode materials in 2024.</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w:t>
      </w:r>
      <w:r w:rsidRPr="00915114">
        <w:rPr>
          <w:rFonts w:ascii="Times New Roman" w:hAnsi="Times New Roman" w:cs="Times New Roman" w:hint="eastAsia"/>
          <w:color w:val="000000" w:themeColor="text1"/>
          <w:lang w:val="en"/>
        </w:rPr>
        <w:t xml:space="preserve">its pursuit of </w:t>
      </w:r>
      <w:r w:rsidRPr="00915114">
        <w:rPr>
          <w:rFonts w:ascii="Times New Roman" w:hAnsi="Times New Roman" w:cs="Times New Roman"/>
          <w:color w:val="000000" w:themeColor="text1"/>
          <w:lang w:val="en"/>
        </w:rPr>
        <w:t xml:space="preserve">long-term cost reduction, PTL actively </w:t>
      </w:r>
      <w:r w:rsidRPr="00915114">
        <w:rPr>
          <w:rFonts w:ascii="Times New Roman" w:hAnsi="Times New Roman" w:cs="Times New Roman" w:hint="eastAsia"/>
          <w:color w:val="000000" w:themeColor="text1"/>
          <w:lang w:val="en"/>
        </w:rPr>
        <w:t xml:space="preserve">employs </w:t>
      </w:r>
      <w:r w:rsidRPr="00915114">
        <w:rPr>
          <w:rFonts w:ascii="Times New Roman" w:hAnsi="Times New Roman" w:cs="Times New Roman"/>
          <w:color w:val="000000" w:themeColor="text1"/>
          <w:lang w:val="en"/>
        </w:rPr>
        <w:t>various methods such as technological innovation, process optimization, and product serialization</w:t>
      </w:r>
      <w:r w:rsidRPr="00915114">
        <w:rPr>
          <w:rFonts w:ascii="Times New Roman" w:hAnsi="Times New Roman" w:cs="Times New Roman" w:hint="eastAsia"/>
          <w:color w:val="000000" w:themeColor="text1"/>
          <w:lang w:val="en"/>
        </w:rPr>
        <w:t xml:space="preserve"> to enhance efficiency</w:t>
      </w:r>
      <w:r w:rsidRPr="00915114">
        <w:rPr>
          <w:rFonts w:ascii="Times New Roman" w:hAnsi="Times New Roman" w:cs="Times New Roman"/>
          <w:color w:val="000000" w:themeColor="text1"/>
          <w:lang w:val="en"/>
        </w:rPr>
        <w:t xml:space="preserve">. The </w:t>
      </w:r>
      <w:r w:rsidRPr="00915114">
        <w:rPr>
          <w:rFonts w:ascii="Times New Roman" w:hAnsi="Times New Roman" w:cs="Times New Roman" w:hint="eastAsia"/>
          <w:color w:val="000000" w:themeColor="text1"/>
          <w:lang w:val="en"/>
        </w:rPr>
        <w:t xml:space="preserve">under-construction </w:t>
      </w:r>
      <w:r w:rsidRPr="00915114">
        <w:rPr>
          <w:rFonts w:ascii="Times New Roman" w:hAnsi="Times New Roman" w:cs="Times New Roman"/>
          <w:color w:val="000000" w:themeColor="text1"/>
          <w:lang w:val="en"/>
        </w:rPr>
        <w:t xml:space="preserve">Sichuan </w:t>
      </w:r>
      <w:proofErr w:type="spellStart"/>
      <w:r w:rsidRPr="00915114">
        <w:rPr>
          <w:rFonts w:ascii="Times New Roman" w:hAnsi="Times New Roman" w:cs="Times New Roman"/>
          <w:color w:val="000000" w:themeColor="text1"/>
          <w:lang w:val="en"/>
        </w:rPr>
        <w:t>Zichen</w:t>
      </w:r>
      <w:proofErr w:type="spellEnd"/>
      <w:r w:rsidRPr="00915114">
        <w:rPr>
          <w:rFonts w:ascii="Times New Roman" w:hAnsi="Times New Roman" w:cs="Times New Roman"/>
          <w:color w:val="000000" w:themeColor="text1"/>
          <w:lang w:val="en"/>
        </w:rPr>
        <w:t xml:space="preserve"> factory is positioned to</w:t>
      </w:r>
      <w:r w:rsidRPr="00915114">
        <w:rPr>
          <w:rFonts w:ascii="Times New Roman" w:hAnsi="Times New Roman" w:cs="Times New Roman" w:hint="eastAsia"/>
          <w:color w:val="000000" w:themeColor="text1"/>
          <w:lang w:val="en"/>
        </w:rPr>
        <w:t xml:space="preserve"> emerge as</w:t>
      </w:r>
      <w:r w:rsidRPr="00915114">
        <w:rPr>
          <w:rFonts w:ascii="Times New Roman" w:hAnsi="Times New Roman" w:cs="Times New Roman"/>
          <w:color w:val="000000" w:themeColor="text1"/>
          <w:lang w:val="en"/>
        </w:rPr>
        <w:t xml:space="preserve"> the </w:t>
      </w:r>
      <w:r w:rsidRPr="00915114">
        <w:rPr>
          <w:rFonts w:ascii="Times New Roman" w:hAnsi="Times New Roman" w:cs="Times New Roman" w:hint="eastAsia"/>
          <w:color w:val="000000" w:themeColor="text1"/>
          <w:lang w:val="en"/>
        </w:rPr>
        <w:t>industry</w:t>
      </w:r>
      <w:r w:rsidRPr="00915114">
        <w:rPr>
          <w:rFonts w:ascii="Times New Roman" w:hAnsi="Times New Roman" w:cs="Times New Roman"/>
          <w:color w:val="000000" w:themeColor="text1"/>
          <w:lang w:val="en"/>
        </w:rPr>
        <w:t>’</w:t>
      </w:r>
      <w:r w:rsidRPr="00915114">
        <w:rPr>
          <w:rFonts w:ascii="Times New Roman" w:hAnsi="Times New Roman" w:cs="Times New Roman" w:hint="eastAsia"/>
          <w:color w:val="000000" w:themeColor="text1"/>
          <w:lang w:val="en"/>
        </w:rPr>
        <w:t xml:space="preserve">s </w:t>
      </w:r>
      <w:r w:rsidRPr="00915114">
        <w:rPr>
          <w:rFonts w:ascii="Times New Roman" w:hAnsi="Times New Roman" w:cs="Times New Roman"/>
          <w:color w:val="000000" w:themeColor="text1"/>
          <w:lang w:val="en"/>
        </w:rPr>
        <w:t>next</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generation advanced production </w:t>
      </w:r>
      <w:r w:rsidRPr="00915114">
        <w:rPr>
          <w:rFonts w:ascii="Times New Roman" w:hAnsi="Times New Roman" w:cs="Times New Roman" w:hint="eastAsia"/>
          <w:color w:val="000000" w:themeColor="text1"/>
          <w:lang w:val="en"/>
        </w:rPr>
        <w:t xml:space="preserve">facility </w:t>
      </w:r>
      <w:r w:rsidRPr="00915114">
        <w:rPr>
          <w:rFonts w:ascii="Times New Roman" w:hAnsi="Times New Roman" w:cs="Times New Roman"/>
          <w:color w:val="000000" w:themeColor="text1"/>
          <w:lang w:val="en"/>
        </w:rPr>
        <w:t>and benchmark factory</w:t>
      </w:r>
      <w:r w:rsidRPr="00915114">
        <w:rPr>
          <w:rFonts w:ascii="Times New Roman" w:hAnsi="Times New Roman" w:cs="Times New Roman" w:hint="eastAsia"/>
          <w:color w:val="000000" w:themeColor="text1"/>
          <w:lang w:val="en"/>
        </w:rPr>
        <w:t xml:space="preserve"> </w:t>
      </w:r>
      <w:r w:rsidRPr="00915114">
        <w:rPr>
          <w:rFonts w:ascii="Times New Roman" w:hAnsi="Times New Roman" w:cs="Times New Roman"/>
          <w:color w:val="000000" w:themeColor="text1"/>
          <w:lang w:val="en"/>
        </w:rPr>
        <w:t xml:space="preserve">which is </w:t>
      </w:r>
      <w:r w:rsidRPr="00915114">
        <w:rPr>
          <w:rFonts w:ascii="Times New Roman" w:hAnsi="Times New Roman" w:cs="Times New Roman" w:hint="eastAsia"/>
          <w:color w:val="000000" w:themeColor="text1"/>
          <w:lang w:val="en"/>
        </w:rPr>
        <w:t xml:space="preserve">designed to be </w:t>
      </w:r>
      <w:r w:rsidRPr="00915114">
        <w:rPr>
          <w:rFonts w:ascii="Times New Roman" w:hAnsi="Times New Roman" w:cs="Times New Roman"/>
          <w:color w:val="000000" w:themeColor="text1"/>
          <w:lang w:val="en"/>
        </w:rPr>
        <w:t>environmentally friendly, green and low-carbon, energy intensive, highly automated and intelligent. It will be more suitable for the production adaptation of high-cost-effective anode materials</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w:t>
      </w:r>
    </w:p>
    <w:p w:rsidR="00915114" w:rsidRPr="00915114" w:rsidRDefault="00915114" w:rsidP="00915114">
      <w:pPr>
        <w:spacing w:line="276" w:lineRule="auto"/>
        <w:ind w:firstLineChars="200" w:firstLine="420"/>
        <w:rPr>
          <w:rFonts w:ascii="Times New Roman" w:hAnsi="Times New Roman" w:cs="Times New Roman"/>
          <w:b/>
          <w:color w:val="000000" w:themeColor="text1"/>
          <w:lang w:val="en"/>
        </w:rPr>
      </w:pPr>
      <w:r w:rsidRPr="00915114">
        <w:rPr>
          <w:rFonts w:ascii="Times New Roman" w:hAnsi="Times New Roman" w:cs="Times New Roman" w:hint="eastAsia"/>
          <w:b/>
          <w:color w:val="000000" w:themeColor="text1"/>
          <w:lang w:val="en"/>
        </w:rPr>
        <w:t>2</w:t>
      </w:r>
      <w:r w:rsidRPr="00915114">
        <w:rPr>
          <w:rFonts w:ascii="Times New Roman" w:hAnsi="Times New Roman" w:cs="Times New Roman" w:hint="eastAsia"/>
          <w:b/>
          <w:color w:val="000000" w:themeColor="text1"/>
          <w:lang w:val="en"/>
        </w:rPr>
        <w:t>、</w:t>
      </w:r>
      <w:r w:rsidRPr="00915114">
        <w:rPr>
          <w:rFonts w:ascii="Times New Roman" w:hAnsi="Times New Roman" w:cs="Times New Roman"/>
          <w:b/>
          <w:color w:val="000000" w:themeColor="text1"/>
          <w:lang w:val="en"/>
        </w:rPr>
        <w:t>Separator and coating</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Regarding the separator and coating business, PTL achieved a coating and processing volume (sales) of 5.27 billion m</w:t>
      </w:r>
      <w:r w:rsidRPr="00915114">
        <w:rPr>
          <w:rFonts w:ascii="Times New Roman" w:hAnsi="Times New Roman" w:cs="Times New Roman"/>
          <w:color w:val="000000" w:themeColor="text1"/>
          <w:vertAlign w:val="superscript"/>
          <w:lang w:val="en"/>
        </w:rPr>
        <w:t>2</w:t>
      </w:r>
      <w:r w:rsidRPr="00915114">
        <w:rPr>
          <w:rFonts w:ascii="Times New Roman" w:hAnsi="Times New Roman" w:cs="Times New Roman"/>
          <w:color w:val="000000" w:themeColor="text1"/>
          <w:lang w:val="en"/>
        </w:rPr>
        <w:t xml:space="preserve">, representing a year-on-year growth of 21.50%. The main operating income from </w:t>
      </w:r>
      <w:r w:rsidRPr="00915114">
        <w:rPr>
          <w:rFonts w:ascii="Times New Roman" w:hAnsi="Times New Roman" w:cs="Times New Roman" w:hint="eastAsia"/>
          <w:color w:val="000000" w:themeColor="text1"/>
          <w:lang w:val="en"/>
        </w:rPr>
        <w:t xml:space="preserve">the </w:t>
      </w:r>
      <w:r w:rsidRPr="00915114">
        <w:rPr>
          <w:rFonts w:ascii="Times New Roman" w:hAnsi="Times New Roman" w:cs="Times New Roman"/>
          <w:color w:val="000000" w:themeColor="text1"/>
          <w:lang w:val="en"/>
        </w:rPr>
        <w:t>separator and coating processin</w:t>
      </w:r>
      <w:r w:rsidR="00A62A32">
        <w:rPr>
          <w:rFonts w:ascii="Times New Roman" w:hAnsi="Times New Roman" w:cs="Times New Roman"/>
          <w:color w:val="000000" w:themeColor="text1"/>
          <w:lang w:val="en"/>
        </w:rPr>
        <w:t>g business reached CNY 4,815.81</w:t>
      </w:r>
      <w:r w:rsidRPr="00915114">
        <w:rPr>
          <w:rFonts w:ascii="Times New Roman" w:hAnsi="Times New Roman" w:cs="Times New Roman"/>
          <w:color w:val="000000" w:themeColor="text1"/>
          <w:lang w:val="en"/>
        </w:rPr>
        <w:t xml:space="preserve"> million, showing a year-on-year growth of 23.63%. Additionally, PVDF products generated a main operating inco</w:t>
      </w:r>
      <w:r w:rsidR="002221D5">
        <w:rPr>
          <w:rFonts w:ascii="Times New Roman" w:hAnsi="Times New Roman" w:cs="Times New Roman"/>
          <w:color w:val="000000" w:themeColor="text1"/>
          <w:lang w:val="en"/>
        </w:rPr>
        <w:t>me of CNY 1,021.28</w:t>
      </w:r>
      <w:r w:rsidRPr="00915114">
        <w:rPr>
          <w:rFonts w:ascii="Times New Roman" w:hAnsi="Times New Roman" w:cs="Times New Roman"/>
          <w:color w:val="000000" w:themeColor="text1"/>
          <w:lang w:val="en"/>
        </w:rPr>
        <w:t xml:space="preserve"> </w:t>
      </w:r>
      <w:r w:rsidR="002221D5" w:rsidRPr="002221D5">
        <w:rPr>
          <w:rFonts w:ascii="Times New Roman" w:hAnsi="Times New Roman" w:cs="Times New Roman"/>
          <w:color w:val="000000" w:themeColor="text1"/>
          <w:lang w:val="en"/>
        </w:rPr>
        <w:t>million</w:t>
      </w:r>
      <w:r w:rsidRPr="00915114">
        <w:rPr>
          <w:rFonts w:ascii="Times New Roman" w:hAnsi="Times New Roman" w:cs="Times New Roman"/>
          <w:color w:val="000000" w:themeColor="text1"/>
          <w:lang w:val="en"/>
        </w:rPr>
        <w:t xml:space="preserve"> (including internal sales).</w:t>
      </w:r>
    </w:p>
    <w:p w:rsidR="00915114" w:rsidRPr="00915114" w:rsidRDefault="00915114" w:rsidP="00915114">
      <w:pPr>
        <w:spacing w:line="276" w:lineRule="auto"/>
        <w:ind w:firstLineChars="200" w:firstLine="420"/>
        <w:rPr>
          <w:rFonts w:ascii="Times New Roman" w:hAnsi="Times New Roman" w:cs="Times New Roman"/>
          <w:b/>
          <w:color w:val="000000" w:themeColor="text1"/>
          <w:lang w:val="en"/>
        </w:rPr>
      </w:pPr>
      <w:r w:rsidRPr="00915114">
        <w:rPr>
          <w:rFonts w:ascii="Times New Roman" w:hAnsi="Times New Roman" w:cs="Times New Roman" w:hint="eastAsia"/>
          <w:b/>
          <w:color w:val="000000" w:themeColor="text1"/>
          <w:lang w:val="en"/>
        </w:rPr>
        <w:t>a</w:t>
      </w:r>
      <w:r w:rsidRPr="00915114">
        <w:rPr>
          <w:rFonts w:ascii="Times New Roman" w:hAnsi="Times New Roman" w:cs="Times New Roman" w:hint="eastAsia"/>
          <w:b/>
          <w:color w:val="000000" w:themeColor="text1"/>
          <w:lang w:val="en"/>
        </w:rPr>
        <w:t>、</w:t>
      </w:r>
      <w:r w:rsidRPr="00915114">
        <w:rPr>
          <w:rFonts w:ascii="Times New Roman" w:hAnsi="Times New Roman" w:cs="Times New Roman"/>
          <w:b/>
          <w:color w:val="000000" w:themeColor="text1"/>
          <w:lang w:val="en"/>
        </w:rPr>
        <w:t>Coating</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In 2023, PTL's coating processing business maintained a positive growth trajectory, capitalizing on its comprehensive competitive advantages in separator, coating materials, coating equipment, </w:t>
      </w:r>
      <w:r w:rsidR="007A10D9">
        <w:rPr>
          <w:rFonts w:ascii="Times New Roman" w:hAnsi="Times New Roman" w:cs="Times New Roman" w:hint="eastAsia"/>
          <w:color w:val="000000" w:themeColor="text1"/>
          <w:lang w:val="en"/>
        </w:rPr>
        <w:t>binders</w:t>
      </w:r>
      <w:r w:rsidRPr="00915114">
        <w:rPr>
          <w:rFonts w:ascii="Times New Roman" w:hAnsi="Times New Roman" w:cs="Times New Roman"/>
          <w:color w:val="000000" w:themeColor="text1"/>
          <w:lang w:val="en"/>
        </w:rPr>
        <w:t>, and coating processing.</w:t>
      </w:r>
      <w:r w:rsidRPr="00915114">
        <w:rPr>
          <w:rFonts w:ascii="Times New Roman" w:hAnsi="Times New Roman" w:cs="Times New Roman" w:hint="eastAsia"/>
          <w:color w:val="000000" w:themeColor="text1"/>
          <w:lang w:val="en"/>
        </w:rPr>
        <w:t xml:space="preserve"> Thanks to </w:t>
      </w:r>
      <w:r w:rsidRPr="00915114">
        <w:rPr>
          <w:rFonts w:ascii="Times New Roman" w:hAnsi="Times New Roman" w:cs="Times New Roman"/>
          <w:color w:val="000000" w:themeColor="text1"/>
          <w:lang w:val="en"/>
        </w:rPr>
        <w:t>its high level of customization and strong customer loyalty, the business secured a stable position within the industry.</w:t>
      </w:r>
      <w:r w:rsidR="0020557B" w:rsidRPr="0020557B">
        <w:t xml:space="preserve"> </w:t>
      </w:r>
      <w:r w:rsidR="0020557B" w:rsidRPr="0020557B">
        <w:rPr>
          <w:rFonts w:ascii="Times New Roman" w:hAnsi="Times New Roman" w:cs="Times New Roman"/>
          <w:color w:val="000000" w:themeColor="text1"/>
          <w:lang w:val="en"/>
        </w:rPr>
        <w:t xml:space="preserve">In 2023, </w:t>
      </w:r>
      <w:r w:rsidR="0020557B">
        <w:rPr>
          <w:rFonts w:ascii="Times New Roman" w:hAnsi="Times New Roman" w:cs="Times New Roman"/>
          <w:color w:val="000000" w:themeColor="text1"/>
          <w:lang w:val="en"/>
        </w:rPr>
        <w:t>PTL</w:t>
      </w:r>
      <w:r w:rsidR="0020557B" w:rsidRPr="0020557B">
        <w:rPr>
          <w:rFonts w:ascii="Times New Roman" w:hAnsi="Times New Roman" w:cs="Times New Roman"/>
          <w:color w:val="000000" w:themeColor="text1"/>
          <w:lang w:val="en"/>
        </w:rPr>
        <w:t xml:space="preserve">'s coating </w:t>
      </w:r>
      <w:r w:rsidR="0020557B">
        <w:rPr>
          <w:rFonts w:ascii="Times New Roman" w:hAnsi="Times New Roman" w:cs="Times New Roman"/>
          <w:color w:val="000000" w:themeColor="text1"/>
          <w:lang w:val="en"/>
        </w:rPr>
        <w:t>separator</w:t>
      </w:r>
      <w:r w:rsidR="0020557B" w:rsidRPr="0020557B">
        <w:rPr>
          <w:rFonts w:ascii="Times New Roman" w:hAnsi="Times New Roman" w:cs="Times New Roman"/>
          <w:color w:val="000000" w:themeColor="text1"/>
          <w:lang w:val="en"/>
        </w:rPr>
        <w:t xml:space="preserve"> and processing vol</w:t>
      </w:r>
      <w:r w:rsidR="00A62A32">
        <w:rPr>
          <w:rFonts w:ascii="Times New Roman" w:hAnsi="Times New Roman" w:cs="Times New Roman"/>
          <w:color w:val="000000" w:themeColor="text1"/>
          <w:lang w:val="en"/>
        </w:rPr>
        <w:t>ume (sales volume) reached 5.27</w:t>
      </w:r>
      <w:r w:rsidR="0020557B" w:rsidRPr="0020557B">
        <w:rPr>
          <w:rFonts w:ascii="Times New Roman" w:hAnsi="Times New Roman" w:cs="Times New Roman"/>
          <w:color w:val="000000" w:themeColor="text1"/>
          <w:lang w:val="en"/>
        </w:rPr>
        <w:t xml:space="preserve"> billion square meters, accounting for 40.73% of the domestic wet </w:t>
      </w:r>
      <w:r w:rsidR="0020557B">
        <w:rPr>
          <w:rFonts w:ascii="Times New Roman" w:hAnsi="Times New Roman" w:cs="Times New Roman"/>
          <w:color w:val="000000" w:themeColor="text1"/>
          <w:lang w:val="en"/>
        </w:rPr>
        <w:t>separator</w:t>
      </w:r>
      <w:r w:rsidR="0020557B" w:rsidRPr="0020557B">
        <w:rPr>
          <w:rFonts w:ascii="Times New Roman" w:hAnsi="Times New Roman" w:cs="Times New Roman"/>
          <w:color w:val="000000" w:themeColor="text1"/>
          <w:lang w:val="en"/>
        </w:rPr>
        <w:t xml:space="preserve"> shipment volume (12.94 billion square meters) during the same period.</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During the reporting period, PTL successfully </w:t>
      </w:r>
      <w:r w:rsidRPr="00915114">
        <w:rPr>
          <w:rFonts w:ascii="Times New Roman" w:hAnsi="Times New Roman" w:cs="Times New Roman" w:hint="eastAsia"/>
          <w:color w:val="000000" w:themeColor="text1"/>
          <w:lang w:val="en"/>
        </w:rPr>
        <w:t xml:space="preserve">achieved </w:t>
      </w:r>
      <w:r w:rsidRPr="00915114">
        <w:rPr>
          <w:rFonts w:ascii="Times New Roman" w:hAnsi="Times New Roman" w:cs="Times New Roman"/>
          <w:color w:val="000000" w:themeColor="text1"/>
          <w:lang w:val="en"/>
        </w:rPr>
        <w:t>its targets in various areas, including domestic substitution of coating materials, accelerated deployment of coating equipment, cost improvements in adhesive technologies, and increased self-sufficiency in separator. These achievements led to synergistic effects and cost optimizations within the coating processing business.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Furthermore, by leveraging its scale advantages, PTL steadily enhanced production efficiency and product performance, ensuring consistent profitability.</w:t>
      </w:r>
    </w:p>
    <w:p w:rsidR="00915114" w:rsidRPr="00915114" w:rsidRDefault="00915114" w:rsidP="00915114">
      <w:pPr>
        <w:spacing w:line="276" w:lineRule="auto"/>
        <w:ind w:firstLineChars="200" w:firstLine="420"/>
        <w:rPr>
          <w:rFonts w:ascii="Times New Roman" w:hAnsi="Times New Roman" w:cs="Times New Roman"/>
          <w:b/>
          <w:color w:val="000000" w:themeColor="text1"/>
          <w:lang w:val="en"/>
        </w:rPr>
      </w:pPr>
      <w:r w:rsidRPr="00915114">
        <w:rPr>
          <w:rFonts w:ascii="Times New Roman" w:hAnsi="Times New Roman" w:cs="Times New Roman" w:hint="eastAsia"/>
          <w:b/>
          <w:color w:val="000000" w:themeColor="text1"/>
          <w:lang w:val="en"/>
        </w:rPr>
        <w:t>b</w:t>
      </w:r>
      <w:r w:rsidRPr="00915114">
        <w:rPr>
          <w:rFonts w:ascii="Times New Roman" w:hAnsi="Times New Roman" w:cs="Times New Roman" w:hint="eastAsia"/>
          <w:b/>
          <w:color w:val="000000" w:themeColor="text1"/>
          <w:lang w:val="en"/>
        </w:rPr>
        <w:t>、</w:t>
      </w:r>
      <w:r w:rsidRPr="00915114">
        <w:rPr>
          <w:rFonts w:ascii="Times New Roman" w:hAnsi="Times New Roman" w:cs="Times New Roman"/>
          <w:b/>
          <w:color w:val="000000" w:themeColor="text1"/>
          <w:lang w:val="en"/>
        </w:rPr>
        <w:t>Separator and coating material</w:t>
      </w:r>
    </w:p>
    <w:p w:rsid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Separator</w:t>
      </w:r>
      <w:r w:rsidR="00492E78">
        <w:rPr>
          <w:rFonts w:ascii="Times New Roman" w:hAnsi="Times New Roman" w:cs="Times New Roman"/>
          <w:color w:val="000000" w:themeColor="text1"/>
          <w:lang w:val="en"/>
        </w:rPr>
        <w:t xml:space="preserve">: </w:t>
      </w:r>
      <w:r w:rsidRPr="00915114">
        <w:rPr>
          <w:rFonts w:ascii="Times New Roman" w:hAnsi="Times New Roman" w:cs="Times New Roman"/>
          <w:color w:val="000000" w:themeColor="text1"/>
          <w:lang w:val="en"/>
        </w:rPr>
        <w:t xml:space="preserve">Sichuan </w:t>
      </w:r>
      <w:proofErr w:type="spellStart"/>
      <w:r w:rsidRPr="00915114">
        <w:rPr>
          <w:rFonts w:ascii="Times New Roman" w:hAnsi="Times New Roman" w:cs="Times New Roman"/>
          <w:color w:val="000000" w:themeColor="text1"/>
          <w:lang w:val="en"/>
        </w:rPr>
        <w:t>Zhuoqin's</w:t>
      </w:r>
      <w:proofErr w:type="spellEnd"/>
      <w:r w:rsidRPr="00915114">
        <w:rPr>
          <w:rFonts w:ascii="Times New Roman" w:hAnsi="Times New Roman" w:cs="Times New Roman"/>
          <w:color w:val="000000" w:themeColor="text1"/>
          <w:lang w:val="en"/>
        </w:rPr>
        <w:t xml:space="preserve"> separator production line boasts leading speeds, widths, and efficiency in the industry, </w:t>
      </w:r>
      <w:r w:rsidRPr="00915114">
        <w:rPr>
          <w:rFonts w:ascii="Times New Roman" w:hAnsi="Times New Roman" w:cs="Times New Roman" w:hint="eastAsia"/>
          <w:color w:val="000000" w:themeColor="text1"/>
          <w:lang w:val="en"/>
        </w:rPr>
        <w:t xml:space="preserve">enabling </w:t>
      </w:r>
      <w:r w:rsidRPr="00915114">
        <w:rPr>
          <w:rFonts w:ascii="Times New Roman" w:hAnsi="Times New Roman" w:cs="Times New Roman"/>
          <w:color w:val="000000" w:themeColor="text1"/>
          <w:lang w:val="en"/>
        </w:rPr>
        <w:t xml:space="preserve">mass production capabilities. As a result, the sales volume of </w:t>
      </w:r>
      <w:r w:rsidRPr="00915114">
        <w:rPr>
          <w:rFonts w:ascii="Times New Roman" w:hAnsi="Times New Roman" w:cs="Times New Roman"/>
          <w:color w:val="000000" w:themeColor="text1"/>
          <w:lang w:val="en"/>
        </w:rPr>
        <w:lastRenderedPageBreak/>
        <w:t xml:space="preserve">separator has steadily </w:t>
      </w:r>
      <w:r w:rsidRPr="00915114">
        <w:rPr>
          <w:rFonts w:ascii="Times New Roman" w:hAnsi="Times New Roman" w:cs="Times New Roman" w:hint="eastAsia"/>
          <w:color w:val="000000" w:themeColor="text1"/>
          <w:lang w:val="en"/>
        </w:rPr>
        <w:t xml:space="preserve">increased </w:t>
      </w:r>
      <w:r w:rsidRPr="00915114">
        <w:rPr>
          <w:rFonts w:ascii="Times New Roman" w:hAnsi="Times New Roman" w:cs="Times New Roman"/>
          <w:color w:val="000000" w:themeColor="text1"/>
          <w:lang w:val="en"/>
        </w:rPr>
        <w:t xml:space="preserve">each quarter. Leveraging its strong production equipment advantages, PTL separator products </w:t>
      </w:r>
      <w:r w:rsidRPr="00915114">
        <w:rPr>
          <w:rFonts w:ascii="Times New Roman" w:hAnsi="Times New Roman" w:cs="Times New Roman" w:hint="eastAsia"/>
          <w:color w:val="000000" w:themeColor="text1"/>
          <w:lang w:val="en"/>
        </w:rPr>
        <w:t xml:space="preserve">demonstrate </w:t>
      </w:r>
      <w:r w:rsidRPr="00915114">
        <w:rPr>
          <w:rFonts w:ascii="Times New Roman" w:hAnsi="Times New Roman" w:cs="Times New Roman"/>
          <w:color w:val="000000" w:themeColor="text1"/>
          <w:lang w:val="en"/>
        </w:rPr>
        <w:t xml:space="preserve">significant cost competitiveness. </w:t>
      </w:r>
    </w:p>
    <w:p w:rsidR="00492E78" w:rsidRDefault="00492E78" w:rsidP="00915114">
      <w:pPr>
        <w:spacing w:line="276" w:lineRule="auto"/>
        <w:ind w:firstLineChars="200" w:firstLine="420"/>
        <w:rPr>
          <w:rFonts w:ascii="Times New Roman" w:hAnsi="Times New Roman" w:cs="Times New Roman"/>
          <w:color w:val="000000" w:themeColor="text1"/>
          <w:lang w:val="en"/>
        </w:rPr>
      </w:pPr>
      <w:r w:rsidRPr="00492E78">
        <w:rPr>
          <w:rFonts w:ascii="Times New Roman" w:hAnsi="Times New Roman" w:cs="Times New Roman"/>
          <w:color w:val="000000" w:themeColor="text1"/>
          <w:lang w:val="en"/>
        </w:rPr>
        <w:t>Ceramic coating materials</w:t>
      </w:r>
      <w:r>
        <w:rPr>
          <w:rFonts w:ascii="Times New Roman" w:hAnsi="Times New Roman" w:cs="Times New Roman"/>
          <w:color w:val="000000" w:themeColor="text1"/>
          <w:lang w:val="en"/>
        </w:rPr>
        <w:t xml:space="preserve">: </w:t>
      </w:r>
      <w:r w:rsidRPr="00492E78">
        <w:rPr>
          <w:rFonts w:ascii="Times New Roman" w:hAnsi="Times New Roman" w:cs="Times New Roman"/>
          <w:color w:val="000000" w:themeColor="text1"/>
          <w:lang w:val="en"/>
        </w:rPr>
        <w:t>In terms of production technology,</w:t>
      </w:r>
      <w:r>
        <w:rPr>
          <w:rFonts w:ascii="Times New Roman" w:hAnsi="Times New Roman" w:cs="Times New Roman"/>
          <w:color w:val="000000" w:themeColor="text1"/>
          <w:lang w:val="en"/>
        </w:rPr>
        <w:t xml:space="preserve"> PTL</w:t>
      </w:r>
      <w:r w:rsidRPr="00492E78">
        <w:rPr>
          <w:rFonts w:ascii="Times New Roman" w:hAnsi="Times New Roman" w:cs="Times New Roman"/>
          <w:color w:val="000000" w:themeColor="text1"/>
          <w:lang w:val="en"/>
        </w:rPr>
        <w:t xml:space="preserve"> has completed the platform </w:t>
      </w:r>
      <w:r w:rsidR="00124B80">
        <w:rPr>
          <w:rFonts w:ascii="Times New Roman" w:hAnsi="Times New Roman" w:cs="Times New Roman"/>
          <w:color w:val="000000" w:themeColor="text1"/>
          <w:lang w:val="en"/>
        </w:rPr>
        <w:t xml:space="preserve">construction of the </w:t>
      </w:r>
      <w:proofErr w:type="spellStart"/>
      <w:r w:rsidR="00124B80">
        <w:rPr>
          <w:rFonts w:ascii="Times New Roman" w:hAnsi="Times New Roman" w:cs="Times New Roman" w:hint="eastAsia"/>
          <w:color w:val="000000" w:themeColor="text1"/>
          <w:lang w:val="en"/>
        </w:rPr>
        <w:t>b</w:t>
      </w:r>
      <w:r w:rsidRPr="00492E78">
        <w:rPr>
          <w:rFonts w:ascii="Times New Roman" w:hAnsi="Times New Roman" w:cs="Times New Roman"/>
          <w:color w:val="000000" w:themeColor="text1"/>
          <w:lang w:val="en"/>
        </w:rPr>
        <w:t>oehmite</w:t>
      </w:r>
      <w:proofErr w:type="spellEnd"/>
      <w:r w:rsidRPr="00492E78">
        <w:rPr>
          <w:rFonts w:ascii="Times New Roman" w:hAnsi="Times New Roman" w:cs="Times New Roman"/>
          <w:color w:val="000000" w:themeColor="text1"/>
          <w:lang w:val="en"/>
        </w:rPr>
        <w:t xml:space="preserve"> production line, </w:t>
      </w:r>
      <w:r>
        <w:rPr>
          <w:rFonts w:ascii="Times New Roman" w:hAnsi="Times New Roman" w:cs="Times New Roman"/>
          <w:color w:val="000000" w:themeColor="text1"/>
          <w:lang w:val="en"/>
        </w:rPr>
        <w:t>which</w:t>
      </w:r>
      <w:r w:rsidRPr="00492E78">
        <w:rPr>
          <w:rFonts w:ascii="Times New Roman" w:hAnsi="Times New Roman" w:cs="Times New Roman"/>
          <w:color w:val="000000" w:themeColor="text1"/>
          <w:lang w:val="en"/>
        </w:rPr>
        <w:t xml:space="preserve"> has been evaluated by customers as the best in the</w:t>
      </w:r>
      <w:r w:rsidR="009E3BA6">
        <w:rPr>
          <w:rFonts w:ascii="Times New Roman" w:hAnsi="Times New Roman" w:cs="Times New Roman"/>
          <w:color w:val="000000" w:themeColor="text1"/>
          <w:lang w:val="en"/>
        </w:rPr>
        <w:t xml:space="preserve"> industry.</w:t>
      </w:r>
      <w:r>
        <w:rPr>
          <w:rFonts w:ascii="Times New Roman" w:hAnsi="Times New Roman" w:cs="Times New Roman"/>
          <w:color w:val="000000" w:themeColor="text1"/>
          <w:lang w:val="en"/>
        </w:rPr>
        <w:t xml:space="preserve"> In terms of product R&amp;D</w:t>
      </w:r>
      <w:r w:rsidRPr="00492E78">
        <w:rPr>
          <w:rFonts w:ascii="Times New Roman" w:hAnsi="Times New Roman" w:cs="Times New Roman"/>
          <w:color w:val="000000" w:themeColor="text1"/>
          <w:lang w:val="en"/>
        </w:rPr>
        <w:t xml:space="preserve">, </w:t>
      </w:r>
      <w:r w:rsidR="0081410D">
        <w:rPr>
          <w:rFonts w:ascii="Times New Roman" w:hAnsi="Times New Roman" w:cs="Times New Roman"/>
          <w:color w:val="000000" w:themeColor="text1"/>
          <w:lang w:val="en"/>
        </w:rPr>
        <w:t>PTL</w:t>
      </w:r>
      <w:r w:rsidRPr="00492E78">
        <w:rPr>
          <w:rFonts w:ascii="Times New Roman" w:hAnsi="Times New Roman" w:cs="Times New Roman"/>
          <w:color w:val="000000" w:themeColor="text1"/>
          <w:lang w:val="en"/>
        </w:rPr>
        <w:t xml:space="preserve"> has developed and mass-produced next-generation ceramic materials such as ultra-fine alumina, ultra-fine </w:t>
      </w:r>
      <w:proofErr w:type="spellStart"/>
      <w:r w:rsidRPr="00492E78">
        <w:rPr>
          <w:rFonts w:ascii="Times New Roman" w:hAnsi="Times New Roman" w:cs="Times New Roman"/>
          <w:color w:val="000000" w:themeColor="text1"/>
          <w:lang w:val="en"/>
        </w:rPr>
        <w:t>boehmite</w:t>
      </w:r>
      <w:proofErr w:type="spellEnd"/>
      <w:r w:rsidRPr="00492E78">
        <w:rPr>
          <w:rFonts w:ascii="Times New Roman" w:hAnsi="Times New Roman" w:cs="Times New Roman"/>
          <w:color w:val="000000" w:themeColor="text1"/>
          <w:lang w:val="en"/>
        </w:rPr>
        <w:t xml:space="preserve">, and fibrous </w:t>
      </w:r>
      <w:proofErr w:type="spellStart"/>
      <w:r w:rsidRPr="00492E78">
        <w:rPr>
          <w:rFonts w:ascii="Times New Roman" w:hAnsi="Times New Roman" w:cs="Times New Roman"/>
          <w:color w:val="000000" w:themeColor="text1"/>
          <w:lang w:val="en"/>
        </w:rPr>
        <w:t>boehmite</w:t>
      </w:r>
      <w:proofErr w:type="spellEnd"/>
      <w:r w:rsidRPr="00492E78">
        <w:rPr>
          <w:rFonts w:ascii="Times New Roman" w:hAnsi="Times New Roman" w:cs="Times New Roman"/>
          <w:color w:val="000000" w:themeColor="text1"/>
          <w:lang w:val="en"/>
        </w:rPr>
        <w:t xml:space="preserve"> for ultra-thin </w:t>
      </w:r>
      <w:r w:rsidR="009E3BA6">
        <w:rPr>
          <w:rFonts w:ascii="Times New Roman" w:hAnsi="Times New Roman" w:cs="Times New Roman"/>
          <w:color w:val="000000" w:themeColor="text1"/>
          <w:lang w:val="en"/>
        </w:rPr>
        <w:t>separator coating</w:t>
      </w:r>
      <w:r w:rsidRPr="00492E78">
        <w:rPr>
          <w:rFonts w:ascii="Times New Roman" w:hAnsi="Times New Roman" w:cs="Times New Roman"/>
          <w:color w:val="000000" w:themeColor="text1"/>
          <w:lang w:val="en"/>
        </w:rPr>
        <w:t xml:space="preserve">, and further expanded the application areas of </w:t>
      </w:r>
      <w:proofErr w:type="spellStart"/>
      <w:r w:rsidRPr="00492E78">
        <w:rPr>
          <w:rFonts w:ascii="Times New Roman" w:hAnsi="Times New Roman" w:cs="Times New Roman"/>
          <w:color w:val="000000" w:themeColor="text1"/>
          <w:lang w:val="en"/>
        </w:rPr>
        <w:t>boehmite</w:t>
      </w:r>
      <w:proofErr w:type="spellEnd"/>
      <w:r w:rsidRPr="00492E78">
        <w:rPr>
          <w:rFonts w:ascii="Times New Roman" w:hAnsi="Times New Roman" w:cs="Times New Roman"/>
          <w:color w:val="000000" w:themeColor="text1"/>
          <w:lang w:val="en"/>
        </w:rPr>
        <w:t xml:space="preserve"> products, including edge coated </w:t>
      </w:r>
      <w:proofErr w:type="spellStart"/>
      <w:r w:rsidRPr="00492E78">
        <w:rPr>
          <w:rFonts w:ascii="Times New Roman" w:hAnsi="Times New Roman" w:cs="Times New Roman"/>
          <w:color w:val="000000" w:themeColor="text1"/>
          <w:lang w:val="en"/>
        </w:rPr>
        <w:t>boehmite</w:t>
      </w:r>
      <w:proofErr w:type="spellEnd"/>
      <w:r w:rsidRPr="00492E78">
        <w:rPr>
          <w:rFonts w:ascii="Times New Roman" w:hAnsi="Times New Roman" w:cs="Times New Roman"/>
          <w:color w:val="000000" w:themeColor="text1"/>
          <w:lang w:val="en"/>
        </w:rPr>
        <w:t xml:space="preserve"> for </w:t>
      </w:r>
      <w:r w:rsidR="009E3BA6">
        <w:rPr>
          <w:rFonts w:ascii="Times New Roman" w:hAnsi="Times New Roman" w:cs="Times New Roman"/>
          <w:color w:val="000000" w:themeColor="text1"/>
          <w:lang w:val="en"/>
        </w:rPr>
        <w:t>cathode</w:t>
      </w:r>
      <w:r w:rsidRPr="00492E78">
        <w:rPr>
          <w:rFonts w:ascii="Times New Roman" w:hAnsi="Times New Roman" w:cs="Times New Roman"/>
          <w:color w:val="000000" w:themeColor="text1"/>
          <w:lang w:val="en"/>
        </w:rPr>
        <w:t xml:space="preserve"> electrodes, water-based edge coated slurry catalyst carriers, and copper clad plate fillers, providing downstream customers with better cost improvement</w:t>
      </w:r>
      <w:r w:rsidR="00E62B14">
        <w:rPr>
          <w:rFonts w:ascii="Times New Roman" w:hAnsi="Times New Roman" w:cs="Times New Roman"/>
          <w:color w:val="000000" w:themeColor="text1"/>
          <w:lang w:val="en"/>
        </w:rPr>
        <w:t xml:space="preserve"> solutions.</w:t>
      </w:r>
      <w:r w:rsidRPr="00492E78">
        <w:rPr>
          <w:rFonts w:ascii="Times New Roman" w:hAnsi="Times New Roman" w:cs="Times New Roman"/>
          <w:color w:val="000000" w:themeColor="text1"/>
          <w:lang w:val="en"/>
        </w:rPr>
        <w:t xml:space="preserve"> In terms of cost reduction and efficiency improvement, </w:t>
      </w:r>
      <w:r w:rsidR="00E62B14">
        <w:rPr>
          <w:rFonts w:ascii="Times New Roman" w:hAnsi="Times New Roman" w:cs="Times New Roman"/>
          <w:color w:val="000000" w:themeColor="text1"/>
          <w:lang w:val="en"/>
        </w:rPr>
        <w:t>PTL</w:t>
      </w:r>
      <w:r w:rsidRPr="00492E78">
        <w:rPr>
          <w:rFonts w:ascii="Times New Roman" w:hAnsi="Times New Roman" w:cs="Times New Roman"/>
          <w:color w:val="000000" w:themeColor="text1"/>
          <w:lang w:val="en"/>
        </w:rPr>
        <w:t xml:space="preserve"> synchronously achieves a comprehensive cost reduction through BOM, energy recovery, equipment improvement, etc.</w:t>
      </w:r>
    </w:p>
    <w:p w:rsidR="00D038ED" w:rsidRPr="00D038ED" w:rsidRDefault="00E62B14" w:rsidP="00D038ED">
      <w:pPr>
        <w:spacing w:line="276" w:lineRule="auto"/>
        <w:ind w:firstLineChars="200" w:firstLine="420"/>
        <w:rPr>
          <w:rFonts w:ascii="Times New Roman" w:hAnsi="Times New Roman" w:cs="Times New Roman"/>
          <w:color w:val="000000" w:themeColor="text1"/>
          <w:lang w:val="en"/>
        </w:rPr>
      </w:pPr>
      <w:r>
        <w:rPr>
          <w:rFonts w:ascii="Times New Roman" w:hAnsi="Times New Roman" w:cs="Times New Roman"/>
          <w:color w:val="000000" w:themeColor="text1"/>
          <w:lang w:val="en"/>
        </w:rPr>
        <w:t>PVDF and B</w:t>
      </w:r>
      <w:r w:rsidRPr="00E62B14">
        <w:rPr>
          <w:rFonts w:ascii="Times New Roman" w:hAnsi="Times New Roman" w:cs="Times New Roman"/>
          <w:color w:val="000000" w:themeColor="text1"/>
          <w:lang w:val="en"/>
        </w:rPr>
        <w:t>inder</w:t>
      </w:r>
      <w:r>
        <w:rPr>
          <w:rFonts w:ascii="Times New Roman" w:hAnsi="Times New Roman" w:cs="Times New Roman"/>
          <w:color w:val="000000" w:themeColor="text1"/>
          <w:lang w:val="en"/>
        </w:rPr>
        <w:t xml:space="preserve">: </w:t>
      </w:r>
      <w:r w:rsidR="00D038ED" w:rsidRPr="00D038ED">
        <w:rPr>
          <w:rFonts w:ascii="Times New Roman" w:hAnsi="Times New Roman" w:cs="Times New Roman"/>
          <w:color w:val="000000" w:themeColor="text1"/>
          <w:lang w:val="en"/>
        </w:rPr>
        <w:t xml:space="preserve">In 2023, </w:t>
      </w:r>
      <w:r w:rsidR="00D038ED">
        <w:rPr>
          <w:rFonts w:ascii="Times New Roman" w:hAnsi="Times New Roman" w:cs="Times New Roman"/>
          <w:color w:val="000000" w:themeColor="text1"/>
          <w:lang w:val="en"/>
        </w:rPr>
        <w:t>PTL</w:t>
      </w:r>
      <w:r w:rsidR="00D038ED" w:rsidRPr="00D038ED">
        <w:rPr>
          <w:rFonts w:ascii="Times New Roman" w:hAnsi="Times New Roman" w:cs="Times New Roman"/>
          <w:color w:val="000000" w:themeColor="text1"/>
          <w:lang w:val="en"/>
        </w:rPr>
        <w:t xml:space="preserve"> gradually put its newly built PVDF production capacity into operation, leading to a quarterly increase in sales. The total annual sales reached 10,627 tons, a significant year-on-year increase of 97.82%. During the reporting period, continuous significant adjustments in the selling price of domestic lithium battery-grade PVDF had a considerable impact on the company's PVDF business revenue. However, the gradual commissioning of new pre-process production capacity and reductions in raw material prices maintained the overall profitability of PVDF. Despite the PVDF industry entering a new phase of market competition, </w:t>
      </w:r>
      <w:r w:rsidR="00D038ED">
        <w:rPr>
          <w:rFonts w:ascii="Times New Roman" w:hAnsi="Times New Roman" w:cs="Times New Roman"/>
          <w:color w:val="000000" w:themeColor="text1"/>
          <w:lang w:val="en"/>
        </w:rPr>
        <w:t>PTL</w:t>
      </w:r>
      <w:r w:rsidR="00D038ED" w:rsidRPr="00D038ED">
        <w:rPr>
          <w:rFonts w:ascii="Times New Roman" w:hAnsi="Times New Roman" w:cs="Times New Roman"/>
          <w:color w:val="000000" w:themeColor="text1"/>
          <w:lang w:val="en"/>
        </w:rPr>
        <w:t xml:space="preserve"> remains confident in maintaining </w:t>
      </w:r>
      <w:r w:rsidR="00D038ED">
        <w:rPr>
          <w:rFonts w:ascii="Times New Roman" w:hAnsi="Times New Roman" w:cs="Times New Roman"/>
          <w:color w:val="000000" w:themeColor="text1"/>
          <w:lang w:val="en"/>
        </w:rPr>
        <w:t>e</w:t>
      </w:r>
      <w:r w:rsidR="00D038ED" w:rsidRPr="00D038ED">
        <w:rPr>
          <w:rFonts w:ascii="Times New Roman" w:hAnsi="Times New Roman" w:cs="Times New Roman"/>
          <w:color w:val="000000" w:themeColor="text1"/>
          <w:lang w:val="en"/>
        </w:rPr>
        <w:t xml:space="preserve">xcellent market competitiveness and growth potential due to its advantages in full-process cost and long-term research and development. Regarding </w:t>
      </w:r>
      <w:r w:rsidR="00D038ED">
        <w:rPr>
          <w:rFonts w:ascii="Times New Roman" w:hAnsi="Times New Roman" w:cs="Times New Roman"/>
          <w:color w:val="000000" w:themeColor="text1"/>
          <w:lang w:val="en"/>
        </w:rPr>
        <w:t xml:space="preserve">the </w:t>
      </w:r>
      <w:r w:rsidR="00D038ED" w:rsidRPr="00D038ED">
        <w:rPr>
          <w:rFonts w:ascii="Times New Roman" w:hAnsi="Times New Roman" w:cs="Times New Roman"/>
          <w:color w:val="000000" w:themeColor="text1"/>
          <w:lang w:val="en"/>
        </w:rPr>
        <w:t>PAA</w:t>
      </w:r>
      <w:r w:rsidR="00D038ED">
        <w:rPr>
          <w:rFonts w:ascii="Times New Roman" w:hAnsi="Times New Roman" w:cs="Times New Roman"/>
          <w:color w:val="000000" w:themeColor="text1"/>
          <w:lang w:val="en"/>
        </w:rPr>
        <w:t xml:space="preserve"> product</w:t>
      </w:r>
      <w:r w:rsidR="00D038ED" w:rsidRPr="00D038ED">
        <w:rPr>
          <w:rFonts w:ascii="Times New Roman" w:hAnsi="Times New Roman" w:cs="Times New Roman"/>
          <w:color w:val="000000" w:themeColor="text1"/>
          <w:lang w:val="en"/>
        </w:rPr>
        <w:t>, the optimization and enrichment of customer structure and product applications continued, particularly in the energy storage sector, achieving significant breakthroughs in business, thereby driving steady growth in PAA product sales, revenue, and profits. Additionally, new products designed to meet the demand for high dynamic performance and ultra-fast charging are expected to create new value for customers in 2024.</w:t>
      </w:r>
    </w:p>
    <w:p w:rsidR="00915114" w:rsidRPr="00915114" w:rsidRDefault="00915114" w:rsidP="00915114">
      <w:pPr>
        <w:spacing w:line="276" w:lineRule="auto"/>
        <w:ind w:firstLineChars="200" w:firstLine="420"/>
        <w:rPr>
          <w:rFonts w:ascii="Times New Roman" w:hAnsi="Times New Roman" w:cs="Times New Roman"/>
          <w:b/>
          <w:color w:val="000000" w:themeColor="text1"/>
          <w:lang w:val="en"/>
        </w:rPr>
      </w:pPr>
      <w:r w:rsidRPr="00915114">
        <w:rPr>
          <w:rFonts w:ascii="Times New Roman" w:hAnsi="Times New Roman" w:cs="Times New Roman" w:hint="eastAsia"/>
          <w:b/>
          <w:color w:val="000000" w:themeColor="text1"/>
          <w:lang w:val="en"/>
        </w:rPr>
        <w:t>c</w:t>
      </w:r>
      <w:r w:rsidRPr="00915114">
        <w:rPr>
          <w:rFonts w:ascii="Times New Roman" w:hAnsi="Times New Roman" w:cs="Times New Roman" w:hint="eastAsia"/>
          <w:b/>
          <w:color w:val="000000" w:themeColor="text1"/>
          <w:lang w:val="en"/>
        </w:rPr>
        <w:t>、</w:t>
      </w:r>
      <w:r w:rsidRPr="00915114">
        <w:rPr>
          <w:rFonts w:ascii="Times New Roman" w:hAnsi="Times New Roman" w:cs="Times New Roman"/>
          <w:b/>
          <w:color w:val="000000" w:themeColor="text1"/>
          <w:lang w:val="en"/>
        </w:rPr>
        <w:t>Composite current collector</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During the reporting period, PTL achieved breakthroughs in develop</w:t>
      </w:r>
      <w:r w:rsidRPr="00915114">
        <w:rPr>
          <w:rFonts w:ascii="Times New Roman" w:hAnsi="Times New Roman" w:cs="Times New Roman" w:hint="eastAsia"/>
          <w:color w:val="000000" w:themeColor="text1"/>
          <w:lang w:val="en"/>
        </w:rPr>
        <w:t xml:space="preserve">ing </w:t>
      </w:r>
      <w:r w:rsidRPr="00915114">
        <w:rPr>
          <w:rFonts w:ascii="Times New Roman" w:hAnsi="Times New Roman" w:cs="Times New Roman"/>
          <w:color w:val="000000" w:themeColor="text1"/>
          <w:lang w:val="en"/>
        </w:rPr>
        <w:t>composite aluminum foil and composite copper foil current collector. In October 2023, PTL signed a "Strategic Cooperation Agreement" with CATL to establish a long-term cooperation mechanism for the composite copper foil current collector business, and jointly explore new energy markets</w:t>
      </w:r>
      <w:r w:rsidRPr="00915114">
        <w:rPr>
          <w:rFonts w:ascii="Times New Roman" w:hAnsi="Times New Roman" w:cs="Times New Roman"/>
          <w:strike/>
          <w:color w:val="000000" w:themeColor="text1"/>
          <w:lang w:val="en"/>
        </w:rPr>
        <w:t xml:space="preserve"> </w:t>
      </w:r>
      <w:r w:rsidRPr="00915114">
        <w:rPr>
          <w:rFonts w:ascii="Times New Roman" w:hAnsi="Times New Roman" w:cs="Times New Roman"/>
          <w:color w:val="000000" w:themeColor="text1"/>
          <w:lang w:val="en"/>
        </w:rPr>
        <w:t>domestic</w:t>
      </w:r>
      <w:r w:rsidRPr="00915114">
        <w:rPr>
          <w:rFonts w:ascii="Times New Roman" w:hAnsi="Times New Roman" w:cs="Times New Roman" w:hint="eastAsia"/>
          <w:color w:val="000000" w:themeColor="text1"/>
          <w:lang w:val="en"/>
        </w:rPr>
        <w:t>ally</w:t>
      </w:r>
      <w:r w:rsidRPr="00915114">
        <w:rPr>
          <w:rFonts w:ascii="Times New Roman" w:hAnsi="Times New Roman" w:cs="Times New Roman"/>
          <w:color w:val="000000" w:themeColor="text1"/>
          <w:lang w:val="en"/>
        </w:rPr>
        <w:t xml:space="preserve"> and abroad. Currently, PTL’</w:t>
      </w:r>
      <w:r w:rsidRPr="00915114">
        <w:rPr>
          <w:rFonts w:ascii="Times New Roman" w:hAnsi="Times New Roman" w:cs="Times New Roman" w:hint="eastAsia"/>
          <w:color w:val="000000" w:themeColor="text1"/>
          <w:lang w:val="en"/>
        </w:rPr>
        <w:t>s</w:t>
      </w:r>
      <w:r w:rsidRPr="00915114">
        <w:rPr>
          <w:rFonts w:ascii="Times New Roman" w:hAnsi="Times New Roman" w:cs="Times New Roman"/>
          <w:color w:val="000000" w:themeColor="text1"/>
          <w:lang w:val="en"/>
        </w:rPr>
        <w:t xml:space="preserve"> composite aluminum foil products have achieved small-scale shipments in the consumer sector, while composite copper foil products are meeting customer demands</w:t>
      </w:r>
      <w:r w:rsidRPr="00915114">
        <w:rPr>
          <w:rFonts w:ascii="Times New Roman" w:hAnsi="Times New Roman" w:cs="Times New Roman" w:hint="eastAsia"/>
          <w:color w:val="000000" w:themeColor="text1"/>
          <w:lang w:val="en"/>
        </w:rPr>
        <w:t xml:space="preserve"> steadily</w:t>
      </w:r>
      <w:r w:rsidRPr="00915114">
        <w:rPr>
          <w:rFonts w:ascii="Times New Roman" w:hAnsi="Times New Roman" w:cs="Times New Roman"/>
          <w:color w:val="000000" w:themeColor="text1"/>
          <w:lang w:val="en"/>
        </w:rPr>
        <w:t>, with continuous progress in industrialization efforts.</w:t>
      </w:r>
    </w:p>
    <w:p w:rsid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To seize the initiative in the </w:t>
      </w:r>
      <w:proofErr w:type="gramStart"/>
      <w:r w:rsidRPr="00915114">
        <w:rPr>
          <w:rFonts w:ascii="Times New Roman" w:hAnsi="Times New Roman" w:cs="Times New Roman"/>
          <w:color w:val="000000" w:themeColor="text1"/>
          <w:lang w:val="en"/>
        </w:rPr>
        <w:t>industrialization</w:t>
      </w:r>
      <w:proofErr w:type="gramEnd"/>
      <w:r w:rsidRPr="00915114">
        <w:rPr>
          <w:rFonts w:ascii="Times New Roman" w:hAnsi="Times New Roman" w:cs="Times New Roman"/>
          <w:color w:val="000000" w:themeColor="text1"/>
          <w:lang w:val="en"/>
        </w:rPr>
        <w:t xml:space="preserve"> wave of composite current collectors, Jiangsu </w:t>
      </w:r>
      <w:proofErr w:type="spellStart"/>
      <w:r w:rsidRPr="00915114">
        <w:rPr>
          <w:rFonts w:ascii="Times New Roman" w:hAnsi="Times New Roman" w:cs="Times New Roman"/>
          <w:color w:val="000000" w:themeColor="text1"/>
          <w:lang w:val="en"/>
        </w:rPr>
        <w:t>Zhuoli's</w:t>
      </w:r>
      <w:proofErr w:type="spellEnd"/>
      <w:r w:rsidRPr="00915114">
        <w:rPr>
          <w:rFonts w:ascii="Times New Roman" w:hAnsi="Times New Roman" w:cs="Times New Roman"/>
          <w:color w:val="000000" w:themeColor="text1"/>
          <w:lang w:val="en"/>
        </w:rPr>
        <w:t xml:space="preserve"> First Phase production base</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with an annual capacity of 16,000 tons of composite copper foil</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has completed the construction of its plant. </w:t>
      </w:r>
      <w:r w:rsidRPr="00915114">
        <w:rPr>
          <w:rFonts w:ascii="Times New Roman" w:hAnsi="Times New Roman" w:cs="Times New Roman" w:hint="eastAsia"/>
          <w:color w:val="000000" w:themeColor="text1"/>
          <w:lang w:val="en"/>
        </w:rPr>
        <w:t>T</w:t>
      </w:r>
      <w:r w:rsidRPr="00915114">
        <w:rPr>
          <w:rFonts w:ascii="Times New Roman" w:hAnsi="Times New Roman" w:cs="Times New Roman"/>
          <w:color w:val="000000" w:themeColor="text1"/>
          <w:lang w:val="en"/>
        </w:rPr>
        <w:t>he decoration of the plant, customization, and installation of equipment have commenced. It is expected that by 2024, the production base will gradually commence operations</w:t>
      </w:r>
      <w:r w:rsidRPr="00915114">
        <w:rPr>
          <w:rFonts w:ascii="Times New Roman" w:hAnsi="Times New Roman" w:cs="Times New Roman" w:hint="eastAsia"/>
          <w:color w:val="000000" w:themeColor="text1"/>
          <w:lang w:val="en"/>
        </w:rPr>
        <w:t>,</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scaling</w:t>
      </w:r>
      <w:r w:rsidRPr="00915114">
        <w:rPr>
          <w:rFonts w:ascii="Times New Roman" w:hAnsi="Times New Roman" w:cs="Times New Roman"/>
          <w:color w:val="000000" w:themeColor="text1"/>
          <w:lang w:val="en"/>
        </w:rPr>
        <w:t xml:space="preserve"> production capacity according to customer demand.</w:t>
      </w:r>
    </w:p>
    <w:p w:rsidR="00D038ED" w:rsidRPr="00124B80" w:rsidRDefault="00D038ED" w:rsidP="00915114">
      <w:pPr>
        <w:spacing w:line="276" w:lineRule="auto"/>
        <w:ind w:firstLineChars="200" w:firstLine="420"/>
        <w:rPr>
          <w:rFonts w:ascii="Times New Roman" w:hAnsi="Times New Roman" w:cs="Times New Roman"/>
          <w:b/>
          <w:color w:val="000000" w:themeColor="text1"/>
          <w:lang w:val="en"/>
        </w:rPr>
      </w:pPr>
      <w:r w:rsidRPr="00124B80">
        <w:rPr>
          <w:rFonts w:ascii="Times New Roman" w:hAnsi="Times New Roman" w:cs="Times New Roman" w:hint="eastAsia"/>
          <w:b/>
          <w:color w:val="000000" w:themeColor="text1"/>
          <w:lang w:val="en"/>
        </w:rPr>
        <w:t>d</w:t>
      </w:r>
      <w:r w:rsidRPr="00124B80">
        <w:rPr>
          <w:rFonts w:ascii="Times New Roman" w:hAnsi="Times New Roman" w:cs="Times New Roman" w:hint="eastAsia"/>
          <w:b/>
          <w:color w:val="000000" w:themeColor="text1"/>
          <w:lang w:val="en"/>
        </w:rPr>
        <w:t>、</w:t>
      </w:r>
      <w:r w:rsidRPr="00124B80">
        <w:rPr>
          <w:rFonts w:ascii="Times New Roman" w:hAnsi="Times New Roman" w:cs="Times New Roman"/>
          <w:b/>
          <w:color w:val="000000" w:themeColor="text1"/>
          <w:lang w:val="en"/>
        </w:rPr>
        <w:t>Aluminum plastic packaging film</w:t>
      </w:r>
    </w:p>
    <w:p w:rsidR="005E535A" w:rsidRPr="00915114" w:rsidRDefault="00A62259" w:rsidP="00915114">
      <w:pPr>
        <w:spacing w:line="276" w:lineRule="auto"/>
        <w:ind w:firstLineChars="200" w:firstLine="420"/>
        <w:rPr>
          <w:rFonts w:ascii="Times New Roman" w:hAnsi="Times New Roman" w:cs="Times New Roman"/>
          <w:color w:val="000000" w:themeColor="text1"/>
          <w:lang w:val="en"/>
        </w:rPr>
      </w:pPr>
      <w:r w:rsidRPr="00A62259">
        <w:rPr>
          <w:rFonts w:ascii="Times New Roman" w:hAnsi="Times New Roman" w:cs="Times New Roman"/>
          <w:color w:val="000000" w:themeColor="text1"/>
          <w:lang w:val="en"/>
        </w:rPr>
        <w:lastRenderedPageBreak/>
        <w:t xml:space="preserve">In 2023, the global consumer electronics market continues to be sluggish, and the competition in the aluminum-plastic packaging film market is becoming increasingly fierce. During the reporting period, </w:t>
      </w:r>
      <w:r>
        <w:rPr>
          <w:rFonts w:ascii="Times New Roman" w:hAnsi="Times New Roman" w:cs="Times New Roman"/>
          <w:color w:val="000000" w:themeColor="text1"/>
          <w:lang w:val="en"/>
        </w:rPr>
        <w:t>PTL</w:t>
      </w:r>
      <w:r w:rsidRPr="00A62259">
        <w:rPr>
          <w:rFonts w:ascii="Times New Roman" w:hAnsi="Times New Roman" w:cs="Times New Roman"/>
          <w:color w:val="000000" w:themeColor="text1"/>
          <w:lang w:val="en"/>
        </w:rPr>
        <w:t xml:space="preserve"> continuously improved the performance and cost structure of its aluminum-plastic packaging film products through comprehensive measures such as organizational optimization, energy conservation and cost reduction, and improving yield. The product shipment volume reached 15.75 million square meters</w:t>
      </w:r>
      <w:r>
        <w:rPr>
          <w:rFonts w:ascii="Times New Roman" w:hAnsi="Times New Roman" w:cs="Times New Roman"/>
          <w:color w:val="000000" w:themeColor="text1"/>
          <w:lang w:val="en"/>
        </w:rPr>
        <w:t xml:space="preserve"> </w:t>
      </w:r>
      <w:r>
        <w:rPr>
          <w:rFonts w:ascii="Times New Roman" w:hAnsi="Times New Roman" w:cs="Times New Roman" w:hint="eastAsia"/>
          <w:color w:val="000000" w:themeColor="text1"/>
          <w:lang w:val="en"/>
        </w:rPr>
        <w:t>in</w:t>
      </w:r>
      <w:r>
        <w:rPr>
          <w:rFonts w:ascii="Times New Roman" w:hAnsi="Times New Roman" w:cs="Times New Roman"/>
          <w:color w:val="000000" w:themeColor="text1"/>
          <w:lang w:val="en"/>
        </w:rPr>
        <w:t xml:space="preserve"> 2023</w:t>
      </w:r>
      <w:r w:rsidRPr="00A62259">
        <w:rPr>
          <w:rFonts w:ascii="Times New Roman" w:hAnsi="Times New Roman" w:cs="Times New Roman"/>
          <w:color w:val="000000" w:themeColor="text1"/>
          <w:lang w:val="en"/>
        </w:rPr>
        <w:t>, laying a solid foundation for the growth of sales volume in 2024.</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3</w:t>
      </w:r>
      <w:r w:rsidRPr="00915114">
        <w:rPr>
          <w:rFonts w:ascii="Times New Roman" w:hAnsi="Times New Roman" w:cs="Times New Roman" w:hint="eastAsia"/>
          <w:color w:val="000000" w:themeColor="text1"/>
          <w:lang w:val="en"/>
        </w:rPr>
        <w:t>、</w:t>
      </w:r>
      <w:r w:rsidRPr="00915114">
        <w:rPr>
          <w:rFonts w:ascii="Times New Roman" w:hAnsi="Times New Roman" w:cs="Times New Roman"/>
          <w:b/>
          <w:color w:val="000000" w:themeColor="text1"/>
          <w:lang w:val="en"/>
        </w:rPr>
        <w:t>Automation Equipment</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In the aspect of automation equipment business, PTL's performance and delivery scale have significantly increased. In 2023, PTL achieved a total operating income (including int</w:t>
      </w:r>
      <w:r w:rsidR="002221D5">
        <w:rPr>
          <w:rFonts w:ascii="Times New Roman" w:hAnsi="Times New Roman" w:cs="Times New Roman"/>
          <w:color w:val="000000" w:themeColor="text1"/>
          <w:lang w:val="en"/>
        </w:rPr>
        <w:t>ernal sales) of CNY 3,591.80 m</w:t>
      </w:r>
      <w:r w:rsidRPr="00915114">
        <w:rPr>
          <w:rFonts w:ascii="Times New Roman" w:hAnsi="Times New Roman" w:cs="Times New Roman"/>
          <w:color w:val="000000" w:themeColor="text1"/>
          <w:lang w:val="en"/>
        </w:rPr>
        <w:t>illion.</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PTL's competitive advantage lies in lithium battery front-end coating equipment, </w:t>
      </w:r>
      <w:r w:rsidRPr="00915114">
        <w:rPr>
          <w:rFonts w:ascii="Times New Roman" w:hAnsi="Times New Roman" w:cs="Times New Roman" w:hint="eastAsia"/>
          <w:color w:val="000000" w:themeColor="text1"/>
          <w:lang w:val="en"/>
        </w:rPr>
        <w:t xml:space="preserve">particularly </w:t>
      </w:r>
      <w:r w:rsidRPr="00915114">
        <w:rPr>
          <w:rFonts w:ascii="Times New Roman" w:hAnsi="Times New Roman" w:cs="Times New Roman"/>
          <w:color w:val="000000" w:themeColor="text1"/>
          <w:lang w:val="en"/>
        </w:rPr>
        <w:t>high-speed wide-width double-sided coating machines. Through continuous R&amp;D and the introduction of new process products, the product line covered key production processes of lithium battery front, middle, and back. This includes comprehensive product service capabilities such as coating, slitting, winding, stacking, injection, and formation and capacity matching for key cell processes. During the reporting period, the scale of delivery of front, middle, and back-end equipment has significantly increased, promoting the increase in operating income.</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hint="eastAsia"/>
          <w:color w:val="000000" w:themeColor="text1"/>
          <w:lang w:val="en"/>
        </w:rPr>
        <w:t>Additionally</w:t>
      </w:r>
      <w:r w:rsidRPr="00915114">
        <w:rPr>
          <w:rFonts w:ascii="Times New Roman" w:hAnsi="Times New Roman" w:cs="Times New Roman"/>
          <w:color w:val="000000" w:themeColor="text1"/>
          <w:lang w:val="en"/>
        </w:rPr>
        <w:t xml:space="preserve">, in other new energy manufacturing equipment, PTL's lithium battery </w:t>
      </w:r>
      <w:r w:rsidRPr="00915114">
        <w:rPr>
          <w:rFonts w:ascii="Times New Roman" w:hAnsi="Times New Roman" w:cs="Times New Roman" w:hint="eastAsia"/>
          <w:color w:val="000000" w:themeColor="text1"/>
          <w:lang w:val="en"/>
        </w:rPr>
        <w:t>separator</w:t>
      </w:r>
      <w:r w:rsidRPr="00915114">
        <w:rPr>
          <w:rFonts w:ascii="Times New Roman" w:hAnsi="Times New Roman" w:cs="Times New Roman"/>
          <w:color w:val="000000" w:themeColor="text1"/>
          <w:lang w:val="en"/>
        </w:rPr>
        <w:t xml:space="preserve"> production equipment has been gradually delivered, and the production equipment for </w:t>
      </w:r>
      <w:r w:rsidRPr="00915114">
        <w:rPr>
          <w:rFonts w:ascii="Times New Roman" w:hAnsi="Times New Roman" w:cs="Times New Roman" w:hint="eastAsia"/>
          <w:color w:val="000000" w:themeColor="text1"/>
          <w:lang w:val="en"/>
        </w:rPr>
        <w:t>cathode</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and</w:t>
      </w:r>
      <w:r w:rsidRPr="00915114">
        <w:rPr>
          <w:rFonts w:ascii="Times New Roman" w:hAnsi="Times New Roman" w:cs="Times New Roman"/>
          <w:color w:val="000000" w:themeColor="text1"/>
          <w:lang w:val="en"/>
        </w:rPr>
        <w:t xml:space="preserve"> </w:t>
      </w:r>
      <w:r w:rsidRPr="00915114">
        <w:rPr>
          <w:rFonts w:ascii="Times New Roman" w:hAnsi="Times New Roman" w:cs="Times New Roman" w:hint="eastAsia"/>
          <w:color w:val="000000" w:themeColor="text1"/>
          <w:lang w:val="en"/>
        </w:rPr>
        <w:t>anode</w:t>
      </w:r>
      <w:r w:rsidRPr="00915114">
        <w:rPr>
          <w:rFonts w:ascii="Times New Roman" w:hAnsi="Times New Roman" w:cs="Times New Roman"/>
          <w:color w:val="000000" w:themeColor="text1"/>
          <w:lang w:val="en"/>
        </w:rPr>
        <w:t xml:space="preserve"> materials and photovoltaic equipment research and development have entered the design and verification stages.</w:t>
      </w:r>
    </w:p>
    <w:p w:rsidR="00915114" w:rsidRPr="00915114" w:rsidRDefault="00915114" w:rsidP="00915114">
      <w:pPr>
        <w:spacing w:line="276" w:lineRule="auto"/>
        <w:ind w:firstLineChars="200" w:firstLine="420"/>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Actively expanding into the international market, PTL focuses on developing the European market centered around Europe's KATOP, increasing sales teams in North America and Southeast Asia, and establishing and improving the internal overseas coordination team within the factory. During the reporting period, overseas orders achieved good results, </w:t>
      </w:r>
      <w:r w:rsidRPr="00915114">
        <w:rPr>
          <w:rFonts w:ascii="Times New Roman" w:hAnsi="Times New Roman" w:cs="Times New Roman" w:hint="eastAsia"/>
          <w:color w:val="000000" w:themeColor="text1"/>
          <w:lang w:val="en"/>
        </w:rPr>
        <w:t>with expectations for</w:t>
      </w:r>
      <w:r w:rsidRPr="00915114">
        <w:rPr>
          <w:rFonts w:ascii="Times New Roman" w:hAnsi="Times New Roman" w:cs="Times New Roman"/>
          <w:color w:val="000000" w:themeColor="text1"/>
          <w:lang w:val="en"/>
        </w:rPr>
        <w:t xml:space="preserve"> further increase in 2024.</w:t>
      </w:r>
    </w:p>
    <w:p w:rsidR="00915114" w:rsidRPr="00915114" w:rsidRDefault="00915114" w:rsidP="00915114">
      <w:pPr>
        <w:keepNext/>
        <w:keepLines/>
        <w:numPr>
          <w:ilvl w:val="1"/>
          <w:numId w:val="1"/>
        </w:numPr>
        <w:spacing w:before="60" w:after="60"/>
        <w:ind w:left="498" w:hangingChars="236" w:hanging="498"/>
        <w:outlineLvl w:val="1"/>
        <w:rPr>
          <w:rFonts w:ascii="Times New Roman" w:eastAsia="宋体" w:hAnsi="Times New Roman" w:cs="Times New Roman"/>
          <w:b/>
          <w:bCs/>
          <w:color w:val="000000" w:themeColor="text1"/>
          <w:szCs w:val="21"/>
          <w:lang w:val="en"/>
        </w:rPr>
      </w:pPr>
      <w:r w:rsidRPr="00915114">
        <w:rPr>
          <w:rFonts w:ascii="Times New Roman" w:eastAsia="宋体" w:hAnsi="Times New Roman" w:cs="Times New Roman"/>
          <w:b/>
          <w:bCs/>
          <w:color w:val="000000" w:themeColor="text1"/>
          <w:szCs w:val="21"/>
          <w:lang w:val="en"/>
        </w:rPr>
        <w:t>Shareholdings of the Top Ten Shareholders</w:t>
      </w:r>
    </w:p>
    <w:tbl>
      <w:tblPr>
        <w:tblStyle w:val="g1"/>
        <w:tblW w:w="93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56"/>
        <w:gridCol w:w="1559"/>
        <w:gridCol w:w="1134"/>
        <w:gridCol w:w="993"/>
        <w:gridCol w:w="850"/>
        <w:gridCol w:w="1276"/>
      </w:tblGrid>
      <w:tr w:rsidR="00915114" w:rsidRPr="00915114" w:rsidTr="00BF07C3">
        <w:trPr>
          <w:cantSplit/>
          <w:trHeight w:val="305"/>
        </w:trPr>
        <w:tc>
          <w:tcPr>
            <w:tcW w:w="9385" w:type="dxa"/>
            <w:gridSpan w:val="7"/>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Shareholdings of the top ten shareholders</w:t>
            </w:r>
          </w:p>
        </w:tc>
      </w:tr>
      <w:tr w:rsidR="00915114" w:rsidRPr="00915114" w:rsidTr="00A62A32">
        <w:trPr>
          <w:cantSplit/>
          <w:trHeight w:val="305"/>
        </w:trPr>
        <w:tc>
          <w:tcPr>
            <w:tcW w:w="1917" w:type="dxa"/>
            <w:vMerge w:val="restart"/>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Shareholder name</w:t>
            </w:r>
          </w:p>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(full name)</w:t>
            </w:r>
          </w:p>
        </w:tc>
        <w:tc>
          <w:tcPr>
            <w:tcW w:w="1656" w:type="dxa"/>
            <w:vMerge w:val="restart"/>
            <w:shd w:val="clear" w:color="auto" w:fill="auto"/>
            <w:vAlign w:val="center"/>
          </w:tcPr>
          <w:p w:rsidR="00915114" w:rsidRPr="00915114" w:rsidRDefault="00915114" w:rsidP="00915114">
            <w:pPr>
              <w:kinsoku w:val="0"/>
              <w:overflowPunct w:val="0"/>
              <w:autoSpaceDE w:val="0"/>
              <w:autoSpaceDN w:val="0"/>
              <w:adjustRightInd w:val="0"/>
              <w:snapToGrid w:val="0"/>
              <w:jc w:val="center"/>
              <w:rPr>
                <w:rFonts w:ascii="Times New Roman" w:hAnsi="Times New Roman"/>
                <w:color w:val="000000" w:themeColor="text1"/>
                <w:szCs w:val="21"/>
              </w:rPr>
            </w:pPr>
            <w:r w:rsidRPr="00915114">
              <w:rPr>
                <w:rFonts w:ascii="Times New Roman" w:hAnsi="Times New Roman"/>
                <w:color w:val="000000" w:themeColor="text1"/>
                <w:szCs w:val="21"/>
              </w:rPr>
              <w:t>Increase or decrease during the reporting period</w:t>
            </w:r>
          </w:p>
        </w:tc>
        <w:tc>
          <w:tcPr>
            <w:tcW w:w="1559" w:type="dxa"/>
            <w:vMerge w:val="restart"/>
            <w:shd w:val="clear" w:color="auto" w:fill="auto"/>
            <w:vAlign w:val="center"/>
          </w:tcPr>
          <w:p w:rsidR="00915114" w:rsidRPr="00915114" w:rsidRDefault="00915114" w:rsidP="00915114">
            <w:pPr>
              <w:kinsoku w:val="0"/>
              <w:wordWrap w:val="0"/>
              <w:overflowPunct w:val="0"/>
              <w:autoSpaceDE w:val="0"/>
              <w:autoSpaceDN w:val="0"/>
              <w:adjustRightInd w:val="0"/>
              <w:snapToGrid w:val="0"/>
              <w:jc w:val="center"/>
              <w:rPr>
                <w:rFonts w:ascii="Times New Roman" w:hAnsi="Times New Roman"/>
                <w:color w:val="000000" w:themeColor="text1"/>
                <w:szCs w:val="21"/>
              </w:rPr>
            </w:pPr>
            <w:r w:rsidRPr="00915114">
              <w:rPr>
                <w:rFonts w:ascii="Times New Roman" w:hAnsi="Times New Roman"/>
                <w:color w:val="000000" w:themeColor="text1"/>
                <w:szCs w:val="21"/>
              </w:rPr>
              <w:t>Number of shares held at the end of the period</w:t>
            </w:r>
          </w:p>
        </w:tc>
        <w:tc>
          <w:tcPr>
            <w:tcW w:w="1134" w:type="dxa"/>
            <w:vMerge w:val="restart"/>
            <w:shd w:val="clear" w:color="auto" w:fill="auto"/>
            <w:vAlign w:val="center"/>
          </w:tcPr>
          <w:p w:rsidR="00915114" w:rsidRPr="00915114" w:rsidRDefault="00915114" w:rsidP="00915114">
            <w:pPr>
              <w:kinsoku w:val="0"/>
              <w:wordWrap w:val="0"/>
              <w:overflowPunct w:val="0"/>
              <w:autoSpaceDE w:val="0"/>
              <w:autoSpaceDN w:val="0"/>
              <w:adjustRightInd w:val="0"/>
              <w:snapToGrid w:val="0"/>
              <w:jc w:val="center"/>
              <w:rPr>
                <w:rFonts w:ascii="Times New Roman" w:hAnsi="Times New Roman"/>
                <w:color w:val="000000" w:themeColor="text1"/>
                <w:szCs w:val="21"/>
              </w:rPr>
            </w:pPr>
            <w:r w:rsidRPr="00915114">
              <w:rPr>
                <w:rFonts w:ascii="Times New Roman" w:hAnsi="Times New Roman"/>
                <w:color w:val="000000" w:themeColor="text1"/>
                <w:szCs w:val="21"/>
              </w:rPr>
              <w:t>Proportion(%)</w:t>
            </w:r>
          </w:p>
        </w:tc>
        <w:tc>
          <w:tcPr>
            <w:tcW w:w="993" w:type="dxa"/>
            <w:vMerge w:val="restart"/>
            <w:shd w:val="clear" w:color="auto" w:fill="auto"/>
            <w:vAlign w:val="center"/>
          </w:tcPr>
          <w:p w:rsidR="00915114" w:rsidRPr="00915114" w:rsidRDefault="00915114" w:rsidP="00915114">
            <w:pPr>
              <w:kinsoku w:val="0"/>
              <w:wordWrap w:val="0"/>
              <w:overflowPunct w:val="0"/>
              <w:autoSpaceDE w:val="0"/>
              <w:autoSpaceDN w:val="0"/>
              <w:adjustRightInd w:val="0"/>
              <w:snapToGrid w:val="0"/>
              <w:jc w:val="center"/>
              <w:rPr>
                <w:rFonts w:ascii="Times New Roman" w:hAnsi="Times New Roman"/>
                <w:bCs/>
                <w:color w:val="000000" w:themeColor="text1"/>
                <w:szCs w:val="21"/>
              </w:rPr>
            </w:pPr>
            <w:r w:rsidRPr="00915114">
              <w:rPr>
                <w:rFonts w:ascii="Times New Roman" w:hAnsi="Times New Roman"/>
                <w:bCs/>
                <w:color w:val="000000" w:themeColor="text1"/>
                <w:szCs w:val="21"/>
              </w:rPr>
              <w:t>Number of shares held with restrictions on sales</w:t>
            </w:r>
          </w:p>
        </w:tc>
        <w:tc>
          <w:tcPr>
            <w:tcW w:w="2126" w:type="dxa"/>
            <w:gridSpan w:val="2"/>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rPr>
              <w:t xml:space="preserve">Shares in </w:t>
            </w:r>
            <w:r w:rsidRPr="00915114">
              <w:rPr>
                <w:rFonts w:ascii="Times New Roman" w:hAnsi="Times New Roman"/>
                <w:color w:val="000000" w:themeColor="text1"/>
                <w:szCs w:val="21"/>
              </w:rPr>
              <w:t>pledge, mark</w:t>
            </w:r>
            <w:r w:rsidRPr="00915114">
              <w:rPr>
                <w:rFonts w:ascii="Times New Roman" w:hAnsi="Times New Roman" w:hint="eastAsia"/>
                <w:color w:val="000000" w:themeColor="text1"/>
                <w:szCs w:val="21"/>
              </w:rPr>
              <w:t>ed</w:t>
            </w:r>
            <w:r w:rsidRPr="00915114">
              <w:rPr>
                <w:rFonts w:ascii="Times New Roman" w:hAnsi="Times New Roman"/>
                <w:color w:val="000000" w:themeColor="text1"/>
                <w:szCs w:val="21"/>
              </w:rPr>
              <w:t xml:space="preserve"> or frozen</w:t>
            </w:r>
          </w:p>
        </w:tc>
      </w:tr>
      <w:tr w:rsidR="00915114" w:rsidRPr="00915114" w:rsidTr="00A62A32">
        <w:trPr>
          <w:cantSplit/>
          <w:trHeight w:val="305"/>
        </w:trPr>
        <w:tc>
          <w:tcPr>
            <w:tcW w:w="1917" w:type="dxa"/>
            <w:vMerge/>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p>
        </w:tc>
        <w:tc>
          <w:tcPr>
            <w:tcW w:w="1656" w:type="dxa"/>
            <w:vMerge/>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p>
        </w:tc>
        <w:tc>
          <w:tcPr>
            <w:tcW w:w="1559" w:type="dxa"/>
            <w:vMerge/>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p>
        </w:tc>
        <w:tc>
          <w:tcPr>
            <w:tcW w:w="1134" w:type="dxa"/>
            <w:vMerge/>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p>
        </w:tc>
        <w:tc>
          <w:tcPr>
            <w:tcW w:w="993" w:type="dxa"/>
            <w:vMerge/>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p>
        </w:tc>
        <w:tc>
          <w:tcPr>
            <w:tcW w:w="850" w:type="dxa"/>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Share Status</w:t>
            </w:r>
          </w:p>
        </w:tc>
        <w:tc>
          <w:tcPr>
            <w:tcW w:w="1276" w:type="dxa"/>
            <w:tcBorders>
              <w:bottom w:val="single" w:sz="4" w:space="0" w:color="auto"/>
            </w:tcBorders>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Quantity</w:t>
            </w:r>
          </w:p>
        </w:tc>
      </w:tr>
      <w:tr w:rsidR="00915114" w:rsidRPr="00915114" w:rsidTr="00A62A32">
        <w:trPr>
          <w:cantSplit/>
          <w:trHeight w:val="305"/>
        </w:trPr>
        <w:tc>
          <w:tcPr>
            <w:tcW w:w="1917" w:type="dxa"/>
            <w:shd w:val="clear" w:color="auto" w:fill="auto"/>
            <w:vAlign w:val="center"/>
          </w:tcPr>
          <w:p w:rsidR="00915114" w:rsidRPr="00915114" w:rsidRDefault="00915114" w:rsidP="00915114">
            <w:pPr>
              <w:rPr>
                <w:rFonts w:ascii="Times New Roman" w:hAnsi="Times New Roman"/>
                <w:color w:val="000000" w:themeColor="text1"/>
                <w:szCs w:val="21"/>
              </w:rPr>
            </w:pPr>
            <w:r w:rsidRPr="00915114">
              <w:rPr>
                <w:rFonts w:ascii="Times New Roman" w:hAnsi="Times New Roman"/>
                <w:color w:val="000000" w:themeColor="text1"/>
                <w:szCs w:val="21"/>
              </w:rPr>
              <w:t>Liang Feng</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164,951,653</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531,510,881</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24.86</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 xml:space="preserve">In </w:t>
            </w:r>
            <w:r w:rsidRPr="00915114">
              <w:rPr>
                <w:rFonts w:ascii="Times New Roman" w:hAnsi="Times New Roman" w:hint="eastAsia"/>
                <w:color w:val="000000" w:themeColor="text1"/>
                <w:szCs w:val="21"/>
              </w:rPr>
              <w:t>pledge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197,091,320</w:t>
            </w:r>
          </w:p>
        </w:tc>
      </w:tr>
      <w:tr w:rsidR="00915114" w:rsidRPr="00915114" w:rsidTr="00A62A32">
        <w:trPr>
          <w:cantSplit/>
          <w:trHeight w:val="916"/>
        </w:trPr>
        <w:tc>
          <w:tcPr>
            <w:tcW w:w="1917" w:type="dxa"/>
            <w:shd w:val="clear" w:color="auto" w:fill="auto"/>
            <w:vAlign w:val="center"/>
          </w:tcPr>
          <w:p w:rsidR="00915114" w:rsidRPr="00915114" w:rsidRDefault="00915114" w:rsidP="00915114">
            <w:pPr>
              <w:kinsoku w:val="0"/>
              <w:wordWrap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 xml:space="preserve">Ningbo </w:t>
            </w:r>
            <w:proofErr w:type="spellStart"/>
            <w:r w:rsidRPr="00915114">
              <w:rPr>
                <w:rFonts w:ascii="Times New Roman" w:hAnsi="Times New Roman"/>
                <w:color w:val="000000" w:themeColor="text1"/>
                <w:szCs w:val="21"/>
              </w:rPr>
              <w:t>Shengyue</w:t>
            </w:r>
            <w:proofErr w:type="spellEnd"/>
            <w:r w:rsidRPr="00915114">
              <w:rPr>
                <w:rFonts w:ascii="Times New Roman" w:hAnsi="Times New Roman"/>
                <w:color w:val="000000" w:themeColor="text1"/>
                <w:szCs w:val="21"/>
              </w:rPr>
              <w:t xml:space="preserve"> Venture Capital Partnership (Limited Partnership)</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71,460,411</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230,261,325</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10.77</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color w:val="000000" w:themeColor="text1"/>
                <w:szCs w:val="21"/>
              </w:rPr>
              <w:t xml:space="preserve">In </w:t>
            </w:r>
            <w:r w:rsidRPr="00915114">
              <w:rPr>
                <w:rFonts w:ascii="Times New Roman" w:hAnsi="Times New Roman" w:hint="eastAsia"/>
                <w:color w:val="000000" w:themeColor="text1"/>
                <w:szCs w:val="21"/>
              </w:rPr>
              <w:t>pledge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68,208,000</w:t>
            </w:r>
          </w:p>
        </w:tc>
      </w:tr>
      <w:tr w:rsidR="00915114" w:rsidRPr="00915114" w:rsidTr="00A62A32">
        <w:trPr>
          <w:cantSplit/>
          <w:trHeight w:val="928"/>
        </w:trPr>
        <w:tc>
          <w:tcPr>
            <w:tcW w:w="1917" w:type="dxa"/>
            <w:shd w:val="clear" w:color="auto" w:fill="auto"/>
            <w:vAlign w:val="center"/>
          </w:tcPr>
          <w:p w:rsidR="00915114" w:rsidRPr="00915114" w:rsidRDefault="00915114" w:rsidP="00915114">
            <w:pPr>
              <w:kinsoku w:val="0"/>
              <w:wordWrap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lastRenderedPageBreak/>
              <w:t>N</w:t>
            </w:r>
            <w:r w:rsidRPr="00915114">
              <w:rPr>
                <w:rFonts w:ascii="Times New Roman" w:hAnsi="Times New Roman" w:hint="eastAsia"/>
                <w:color w:val="000000" w:themeColor="text1"/>
                <w:szCs w:val="21"/>
              </w:rPr>
              <w:t>ingbo</w:t>
            </w:r>
            <w:r w:rsidRPr="00915114">
              <w:rPr>
                <w:rFonts w:ascii="Times New Roman" w:hAnsi="Times New Roman"/>
                <w:color w:val="000000" w:themeColor="text1"/>
                <w:szCs w:val="21"/>
              </w:rPr>
              <w:t xml:space="preserve"> </w:t>
            </w:r>
            <w:proofErr w:type="spellStart"/>
            <w:r w:rsidRPr="00915114">
              <w:rPr>
                <w:rFonts w:ascii="Times New Roman" w:hAnsi="Times New Roman"/>
                <w:color w:val="000000" w:themeColor="text1"/>
                <w:szCs w:val="21"/>
              </w:rPr>
              <w:t>Kuoneng</w:t>
            </w:r>
            <w:proofErr w:type="spellEnd"/>
            <w:r w:rsidRPr="00915114">
              <w:rPr>
                <w:rFonts w:ascii="Times New Roman" w:hAnsi="Times New Roman"/>
                <w:color w:val="000000" w:themeColor="text1"/>
                <w:szCs w:val="21"/>
              </w:rPr>
              <w:t xml:space="preserve"> Venture Capital Partnership (Limited Partnership)</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62,006,756</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199,799,546</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9.35</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ind w:rightChars="-118" w:right="-248"/>
              <w:jc w:val="right"/>
              <w:rPr>
                <w:rFonts w:ascii="Times New Roman" w:hAnsi="Times New Roman"/>
                <w:color w:val="000000" w:themeColor="text1"/>
                <w:szCs w:val="21"/>
              </w:rPr>
            </w:pPr>
          </w:p>
        </w:tc>
      </w:tr>
      <w:tr w:rsidR="00915114" w:rsidRPr="00915114" w:rsidTr="00A62A32">
        <w:trPr>
          <w:cantSplit/>
          <w:trHeight w:val="305"/>
        </w:trPr>
        <w:tc>
          <w:tcPr>
            <w:tcW w:w="1917" w:type="dxa"/>
            <w:shd w:val="clear" w:color="auto" w:fill="auto"/>
            <w:vAlign w:val="center"/>
          </w:tcPr>
          <w:p w:rsidR="00915114" w:rsidRPr="00915114" w:rsidRDefault="00915114" w:rsidP="00915114">
            <w:pPr>
              <w:rPr>
                <w:rFonts w:ascii="Times New Roman" w:hAnsi="Times New Roman"/>
                <w:color w:val="000000" w:themeColor="text1"/>
                <w:szCs w:val="21"/>
              </w:rPr>
            </w:pPr>
            <w:r w:rsidRPr="00915114">
              <w:rPr>
                <w:rFonts w:ascii="Times New Roman" w:hAnsi="Times New Roman"/>
                <w:color w:val="000000" w:themeColor="text1"/>
                <w:szCs w:val="21"/>
              </w:rPr>
              <w:t>Chen Wei</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54,865,241</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175,942,165</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8.23</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ind w:leftChars="-115" w:left="-241"/>
              <w:jc w:val="right"/>
              <w:rPr>
                <w:rFonts w:ascii="Times New Roman" w:hAnsi="Times New Roman"/>
                <w:color w:val="000000" w:themeColor="text1"/>
                <w:szCs w:val="21"/>
              </w:rPr>
            </w:pPr>
          </w:p>
        </w:tc>
      </w:tr>
      <w:tr w:rsidR="00915114" w:rsidRPr="00915114" w:rsidTr="00A62A32">
        <w:trPr>
          <w:cantSplit/>
          <w:trHeight w:val="611"/>
        </w:trPr>
        <w:tc>
          <w:tcPr>
            <w:tcW w:w="1917" w:type="dxa"/>
            <w:shd w:val="clear" w:color="auto" w:fill="auto"/>
            <w:vAlign w:val="center"/>
          </w:tcPr>
          <w:p w:rsidR="00915114" w:rsidRPr="00915114" w:rsidRDefault="00915114" w:rsidP="00915114">
            <w:pPr>
              <w:rPr>
                <w:rFonts w:ascii="Times New Roman" w:hAnsi="Times New Roman"/>
                <w:color w:val="000000" w:themeColor="text1"/>
                <w:szCs w:val="21"/>
              </w:rPr>
            </w:pPr>
            <w:r w:rsidRPr="00915114">
              <w:rPr>
                <w:rFonts w:ascii="Times New Roman" w:hAnsi="Times New Roman"/>
                <w:color w:val="000000" w:themeColor="text1"/>
                <w:szCs w:val="21"/>
              </w:rPr>
              <w:t>HKSCC</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50,234,935</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161,754,249</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7.57</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p>
        </w:tc>
      </w:tr>
      <w:tr w:rsidR="00915114" w:rsidRPr="00915114" w:rsidTr="00A62A32">
        <w:trPr>
          <w:cantSplit/>
          <w:trHeight w:val="305"/>
        </w:trPr>
        <w:tc>
          <w:tcPr>
            <w:tcW w:w="1917" w:type="dxa"/>
            <w:shd w:val="clear" w:color="auto" w:fill="auto"/>
            <w:vAlign w:val="center"/>
          </w:tcPr>
          <w:p w:rsidR="00915114" w:rsidRPr="00915114" w:rsidRDefault="00915114" w:rsidP="00915114">
            <w:pPr>
              <w:rPr>
                <w:rFonts w:ascii="Times New Roman" w:hAnsi="Times New Roman"/>
                <w:color w:val="000000" w:themeColor="text1"/>
                <w:szCs w:val="21"/>
              </w:rPr>
            </w:pPr>
            <w:r w:rsidRPr="00915114">
              <w:rPr>
                <w:rFonts w:ascii="Times New Roman" w:hAnsi="Times New Roman"/>
                <w:color w:val="000000" w:themeColor="text1"/>
                <w:szCs w:val="21"/>
              </w:rPr>
              <w:t>Chengdu Advanced Capital Management Co., Ltd. - Chengdu Major Industrialization Project Phase I Equity Investment Fund Co., Ltd.</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43,177,892</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43,177,892</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2.02</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43,177,892</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p>
        </w:tc>
      </w:tr>
      <w:tr w:rsidR="00915114" w:rsidRPr="00915114" w:rsidTr="00A62A32">
        <w:trPr>
          <w:cantSplit/>
          <w:trHeight w:val="1234"/>
        </w:trPr>
        <w:tc>
          <w:tcPr>
            <w:tcW w:w="1917" w:type="dxa"/>
            <w:shd w:val="clear" w:color="auto" w:fill="auto"/>
            <w:vAlign w:val="center"/>
          </w:tcPr>
          <w:p w:rsidR="00915114" w:rsidRPr="00915114" w:rsidRDefault="00915114" w:rsidP="00915114">
            <w:pPr>
              <w:kinsoku w:val="0"/>
              <w:wordWrap w:val="0"/>
              <w:overflowPunct w:val="0"/>
              <w:autoSpaceDE w:val="0"/>
              <w:autoSpaceDN w:val="0"/>
              <w:adjustRightInd w:val="0"/>
              <w:snapToGrid w:val="0"/>
              <w:rPr>
                <w:rFonts w:ascii="Times New Roman" w:hAnsi="Times New Roman"/>
                <w:color w:val="000000" w:themeColor="text1"/>
                <w:szCs w:val="21"/>
              </w:rPr>
            </w:pPr>
            <w:proofErr w:type="spellStart"/>
            <w:r w:rsidRPr="00915114">
              <w:rPr>
                <w:rFonts w:ascii="Times New Roman" w:hAnsi="Times New Roman"/>
                <w:color w:val="000000" w:themeColor="text1"/>
                <w:szCs w:val="21"/>
              </w:rPr>
              <w:t>Xiaodong</w:t>
            </w:r>
            <w:proofErr w:type="spellEnd"/>
            <w:r w:rsidRPr="00915114">
              <w:rPr>
                <w:rFonts w:ascii="Times New Roman" w:hAnsi="Times New Roman"/>
                <w:color w:val="000000" w:themeColor="text1"/>
                <w:szCs w:val="21"/>
              </w:rPr>
              <w:t xml:space="preserve"> Qi</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11,790,000</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37,990,000</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1.78</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p>
        </w:tc>
      </w:tr>
      <w:tr w:rsidR="00915114" w:rsidRPr="00915114" w:rsidTr="00A62A32">
        <w:trPr>
          <w:cantSplit/>
          <w:trHeight w:val="1529"/>
        </w:trPr>
        <w:tc>
          <w:tcPr>
            <w:tcW w:w="1917" w:type="dxa"/>
            <w:shd w:val="clear" w:color="auto" w:fill="auto"/>
            <w:vAlign w:val="center"/>
          </w:tcPr>
          <w:p w:rsidR="00915114" w:rsidRPr="00915114" w:rsidRDefault="00915114" w:rsidP="00915114">
            <w:pPr>
              <w:kinsoku w:val="0"/>
              <w:wordWrap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Postal Savings Bank of China Co., Ltd.-East Growth Small and Medium Cap Hybrid Open-end Securities Investment Fund</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20,352,967</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31,962,062</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1.49</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p>
        </w:tc>
      </w:tr>
      <w:tr w:rsidR="00915114" w:rsidRPr="00915114" w:rsidTr="00A62A32">
        <w:trPr>
          <w:cantSplit/>
          <w:trHeight w:val="1540"/>
        </w:trPr>
        <w:tc>
          <w:tcPr>
            <w:tcW w:w="1917" w:type="dxa"/>
            <w:shd w:val="clear" w:color="auto" w:fill="auto"/>
            <w:vAlign w:val="center"/>
          </w:tcPr>
          <w:p w:rsidR="00915114" w:rsidRPr="00915114" w:rsidRDefault="00915114" w:rsidP="00915114">
            <w:pPr>
              <w:kinsoku w:val="0"/>
              <w:wordWrap w:val="0"/>
              <w:overflowPunct w:val="0"/>
              <w:autoSpaceDE w:val="0"/>
              <w:autoSpaceDN w:val="0"/>
              <w:adjustRightInd w:val="0"/>
              <w:snapToGrid w:val="0"/>
              <w:rPr>
                <w:rFonts w:ascii="Times New Roman" w:hAnsi="Times New Roman"/>
                <w:color w:val="000000" w:themeColor="text1"/>
                <w:szCs w:val="21"/>
              </w:rPr>
            </w:pPr>
            <w:r w:rsidRPr="00915114">
              <w:rPr>
                <w:rFonts w:ascii="Times New Roman" w:hAnsi="Times New Roman"/>
                <w:color w:val="000000" w:themeColor="text1"/>
                <w:szCs w:val="21"/>
              </w:rPr>
              <w:t>China Construction Bank Co., Ltd.-</w:t>
            </w:r>
            <w:proofErr w:type="spellStart"/>
            <w:r w:rsidRPr="00915114">
              <w:rPr>
                <w:rFonts w:ascii="Times New Roman" w:hAnsi="Times New Roman"/>
                <w:color w:val="000000" w:themeColor="text1"/>
                <w:szCs w:val="21"/>
              </w:rPr>
              <w:t>Huaxia</w:t>
            </w:r>
            <w:proofErr w:type="spellEnd"/>
            <w:r w:rsidRPr="00915114">
              <w:rPr>
                <w:rFonts w:ascii="Times New Roman" w:hAnsi="Times New Roman"/>
                <w:color w:val="000000" w:themeColor="text1"/>
                <w:szCs w:val="21"/>
              </w:rPr>
              <w:t xml:space="preserve"> Energy Innovation Equity Securities Investment Fund</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9,297,021</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29,957,067</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1.40</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915114" w:rsidP="00915114">
            <w:pPr>
              <w:jc w:val="center"/>
              <w:rPr>
                <w:rFonts w:ascii="Times New Roman" w:hAnsi="Times New Roman"/>
                <w:color w:val="000000" w:themeColor="text1"/>
                <w:szCs w:val="21"/>
              </w:rPr>
            </w:pPr>
            <w:r w:rsidRPr="00915114">
              <w:rPr>
                <w:rFonts w:ascii="Times New Roman" w:hAnsi="Times New Roman" w:hint="eastAsia"/>
                <w:color w:val="000000" w:themeColor="text1"/>
                <w:szCs w:val="21"/>
              </w:rPr>
              <w:t>none</w:t>
            </w:r>
          </w:p>
        </w:tc>
        <w:tc>
          <w:tcPr>
            <w:tcW w:w="1276" w:type="dxa"/>
            <w:shd w:val="clear" w:color="auto" w:fill="auto"/>
            <w:vAlign w:val="center"/>
          </w:tcPr>
          <w:p w:rsidR="00915114" w:rsidRPr="00915114" w:rsidRDefault="00915114" w:rsidP="00915114">
            <w:pPr>
              <w:jc w:val="right"/>
              <w:rPr>
                <w:rFonts w:ascii="Times New Roman" w:hAnsi="Times New Roman"/>
                <w:color w:val="000000" w:themeColor="text1"/>
                <w:szCs w:val="21"/>
              </w:rPr>
            </w:pPr>
          </w:p>
        </w:tc>
      </w:tr>
      <w:tr w:rsidR="00915114" w:rsidRPr="00915114" w:rsidTr="00A62A32">
        <w:trPr>
          <w:cantSplit/>
          <w:trHeight w:val="305"/>
        </w:trPr>
        <w:tc>
          <w:tcPr>
            <w:tcW w:w="1917" w:type="dxa"/>
            <w:shd w:val="clear" w:color="auto" w:fill="auto"/>
            <w:vAlign w:val="center"/>
          </w:tcPr>
          <w:p w:rsidR="00915114" w:rsidRPr="00915114" w:rsidRDefault="00915114" w:rsidP="00915114">
            <w:pPr>
              <w:rPr>
                <w:rFonts w:ascii="Times New Roman" w:hAnsi="Times New Roman"/>
                <w:color w:val="000000" w:themeColor="text1"/>
                <w:szCs w:val="21"/>
              </w:rPr>
            </w:pPr>
            <w:r w:rsidRPr="00915114">
              <w:rPr>
                <w:rFonts w:ascii="Times New Roman" w:hAnsi="Times New Roman"/>
                <w:color w:val="000000" w:themeColor="text1"/>
                <w:szCs w:val="21"/>
              </w:rPr>
              <w:t>Industrial and Commercial Bank of China Co., Ltd.- ABC-CA New Energy Theme Flexible Allocation Hybrid Securities Investment Fund</w:t>
            </w:r>
          </w:p>
        </w:tc>
        <w:tc>
          <w:tcPr>
            <w:tcW w:w="1656"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-2,687,180</w:t>
            </w:r>
          </w:p>
        </w:tc>
        <w:tc>
          <w:tcPr>
            <w:tcW w:w="1559"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15,572,077</w:t>
            </w:r>
          </w:p>
        </w:tc>
        <w:tc>
          <w:tcPr>
            <w:tcW w:w="1134"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eastAsiaTheme="majorEastAsia" w:hAnsi="Times New Roman"/>
                <w:color w:val="000000" w:themeColor="text1"/>
              </w:rPr>
              <w:t>0.73</w:t>
            </w:r>
          </w:p>
        </w:tc>
        <w:tc>
          <w:tcPr>
            <w:tcW w:w="993" w:type="dxa"/>
            <w:shd w:val="clear" w:color="auto" w:fill="auto"/>
            <w:vAlign w:val="center"/>
          </w:tcPr>
          <w:p w:rsidR="00915114" w:rsidRPr="00915114" w:rsidRDefault="00915114" w:rsidP="00915114">
            <w:pPr>
              <w:jc w:val="right"/>
              <w:rPr>
                <w:rFonts w:ascii="Times New Roman" w:hAnsi="Times New Roman"/>
                <w:color w:val="000000" w:themeColor="text1"/>
                <w:szCs w:val="21"/>
              </w:rPr>
            </w:pPr>
            <w:r w:rsidRPr="00915114">
              <w:rPr>
                <w:rFonts w:ascii="Times New Roman" w:hAnsi="Times New Roman"/>
                <w:color w:val="000000" w:themeColor="text1"/>
                <w:szCs w:val="21"/>
              </w:rPr>
              <w:t>0</w:t>
            </w:r>
          </w:p>
        </w:tc>
        <w:tc>
          <w:tcPr>
            <w:tcW w:w="850" w:type="dxa"/>
            <w:shd w:val="clear" w:color="auto" w:fill="auto"/>
            <w:vAlign w:val="center"/>
          </w:tcPr>
          <w:p w:rsidR="00915114" w:rsidRPr="00915114" w:rsidRDefault="00C23F3E" w:rsidP="00915114">
            <w:pPr>
              <w:jc w:val="center"/>
              <w:rPr>
                <w:rFonts w:ascii="Times New Roman" w:hAnsi="Times New Roman"/>
                <w:color w:val="000000" w:themeColor="text1"/>
                <w:szCs w:val="21"/>
              </w:rPr>
            </w:pPr>
            <w:r>
              <w:rPr>
                <w:rFonts w:ascii="Times New Roman" w:hAnsi="Times New Roman"/>
                <w:color w:val="000000" w:themeColor="text1"/>
                <w:szCs w:val="21"/>
              </w:rPr>
              <w:t>n</w:t>
            </w:r>
            <w:bookmarkStart w:id="4" w:name="_GoBack"/>
            <w:bookmarkEnd w:id="4"/>
            <w:r>
              <w:rPr>
                <w:rFonts w:ascii="Times New Roman" w:hAnsi="Times New Roman" w:hint="eastAsia"/>
                <w:color w:val="000000" w:themeColor="text1"/>
                <w:szCs w:val="21"/>
              </w:rPr>
              <w:t>one</w:t>
            </w:r>
          </w:p>
        </w:tc>
        <w:tc>
          <w:tcPr>
            <w:tcW w:w="1276" w:type="dxa"/>
            <w:shd w:val="clear" w:color="auto" w:fill="auto"/>
            <w:vAlign w:val="center"/>
          </w:tcPr>
          <w:p w:rsidR="00915114" w:rsidRPr="00915114" w:rsidRDefault="00915114" w:rsidP="00915114">
            <w:pPr>
              <w:jc w:val="center"/>
              <w:rPr>
                <w:rFonts w:ascii="Times New Roman" w:hAnsi="Times New Roman"/>
                <w:color w:val="000000" w:themeColor="text1"/>
                <w:szCs w:val="21"/>
              </w:rPr>
            </w:pPr>
          </w:p>
        </w:tc>
      </w:tr>
    </w:tbl>
    <w:p w:rsidR="00915114" w:rsidRPr="00915114" w:rsidRDefault="00915114" w:rsidP="00915114">
      <w:pPr>
        <w:spacing w:line="276" w:lineRule="auto"/>
        <w:ind w:firstLineChars="200" w:firstLine="420"/>
        <w:jc w:val="right"/>
        <w:rPr>
          <w:rFonts w:ascii="Times New Roman" w:hAnsi="Times New Roman" w:cs="Times New Roman"/>
          <w:color w:val="000000" w:themeColor="text1"/>
          <w:lang w:val="en"/>
        </w:rPr>
      </w:pPr>
    </w:p>
    <w:p w:rsidR="00915114" w:rsidRPr="00915114" w:rsidRDefault="00915114" w:rsidP="00915114">
      <w:pPr>
        <w:spacing w:line="276" w:lineRule="auto"/>
        <w:ind w:firstLineChars="200" w:firstLine="420"/>
        <w:jc w:val="right"/>
        <w:rPr>
          <w:rFonts w:ascii="Times New Roman" w:hAnsi="Times New Roman" w:cs="Times New Roman"/>
          <w:color w:val="000000" w:themeColor="text1"/>
          <w:lang w:val="en"/>
        </w:rPr>
      </w:pPr>
    </w:p>
    <w:p w:rsidR="00915114" w:rsidRPr="00915114" w:rsidRDefault="00915114" w:rsidP="00915114">
      <w:pPr>
        <w:jc w:val="right"/>
        <w:rPr>
          <w:rFonts w:ascii="Times New Roman" w:hAnsi="Times New Roman" w:cs="Times New Roman"/>
          <w:color w:val="000000" w:themeColor="text1"/>
          <w:lang w:val="en"/>
        </w:rPr>
      </w:pPr>
      <w:r w:rsidRPr="00915114">
        <w:rPr>
          <w:rFonts w:ascii="Times New Roman" w:hAnsi="Times New Roman" w:cs="Times New Roman"/>
          <w:color w:val="000000" w:themeColor="text1"/>
          <w:lang w:val="en"/>
        </w:rPr>
        <w:t xml:space="preserve">Shanghai </w:t>
      </w:r>
      <w:proofErr w:type="spellStart"/>
      <w:r w:rsidRPr="00915114">
        <w:rPr>
          <w:rFonts w:ascii="Times New Roman" w:hAnsi="Times New Roman" w:cs="Times New Roman"/>
          <w:color w:val="000000" w:themeColor="text1"/>
          <w:lang w:val="en"/>
        </w:rPr>
        <w:t>Putailai</w:t>
      </w:r>
      <w:proofErr w:type="spellEnd"/>
      <w:r w:rsidRPr="00915114">
        <w:rPr>
          <w:rFonts w:ascii="Times New Roman" w:hAnsi="Times New Roman" w:cs="Times New Roman"/>
          <w:color w:val="000000" w:themeColor="text1"/>
          <w:lang w:val="en"/>
        </w:rPr>
        <w:t xml:space="preserve"> New Energy Technology Co., Ltd.</w:t>
      </w:r>
    </w:p>
    <w:p w:rsidR="00007BA7" w:rsidRPr="00915114" w:rsidRDefault="00007BA7" w:rsidP="00915114">
      <w:pPr>
        <w:rPr>
          <w:lang w:val="en"/>
        </w:rPr>
      </w:pPr>
    </w:p>
    <w:sectPr w:rsidR="00007BA7" w:rsidRPr="0091511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5E" w:rsidRDefault="008F6F5E">
      <w:r>
        <w:separator/>
      </w:r>
    </w:p>
  </w:endnote>
  <w:endnote w:type="continuationSeparator" w:id="0">
    <w:p w:rsidR="008F6F5E" w:rsidRDefault="008F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5E" w:rsidRDefault="008F6F5E">
      <w:r>
        <w:separator/>
      </w:r>
    </w:p>
  </w:footnote>
  <w:footnote w:type="continuationSeparator" w:id="0">
    <w:p w:rsidR="008F6F5E" w:rsidRDefault="008F6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16" w:rsidRDefault="006F5E22" w:rsidP="00A77D16">
    <w:pPr>
      <w:pStyle w:val="a4"/>
      <w:jc w:val="left"/>
    </w:pPr>
    <w:r>
      <w:rPr>
        <w:noProof/>
        <w:lang w:val="en-US"/>
      </w:rPr>
      <w:drawing>
        <wp:inline distT="0" distB="0" distL="0" distR="0" wp14:anchorId="513C5984" wp14:editId="13430841">
          <wp:extent cx="962214" cy="322746"/>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标志.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444" cy="35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B0A"/>
    <w:multiLevelType w:val="multilevel"/>
    <w:tmpl w:val="A4A265BC"/>
    <w:lvl w:ilvl="0">
      <w:start w:val="1"/>
      <w:numFmt w:val="chineseCountingThousand"/>
      <w:lvlText w:val="(%1)"/>
      <w:lvlJc w:val="left"/>
      <w:pPr>
        <w:ind w:left="0" w:firstLine="0"/>
      </w:pPr>
      <w:rPr>
        <w:rFonts w:hint="default"/>
      </w:rPr>
    </w:lvl>
    <w:lvl w:ilvl="1">
      <w:start w:val="1"/>
      <w:numFmt w:val="decimal"/>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6C0E3A"/>
    <w:multiLevelType w:val="multilevel"/>
    <w:tmpl w:val="0AA00B50"/>
    <w:lvl w:ilvl="0">
      <w:start w:val="1"/>
      <w:numFmt w:val="decimal"/>
      <w:lvlText w:val="(%1). "/>
      <w:lvlJc w:val="left"/>
      <w:pPr>
        <w:ind w:left="425" w:hanging="425"/>
      </w:pPr>
      <w:rPr>
        <w:rFonts w:hint="eastAsia"/>
        <w:color w:val="auto"/>
        <w:u w:val="none"/>
      </w:rPr>
    </w:lvl>
    <w:lvl w:ilvl="1">
      <w:start w:val="1"/>
      <w:numFmt w:val="upperLetter"/>
      <w:lvlText w:val="%2."/>
      <w:lvlJc w:val="left"/>
      <w:pPr>
        <w:ind w:left="567" w:hanging="567"/>
      </w:pPr>
      <w:rPr>
        <w:rFonts w:hint="eastAsia"/>
        <w:strike w:val="0"/>
        <w:color w:val="auto"/>
        <w:bdr w:val="none" w:sz="0" w:space="0" w:color="auto"/>
        <w:lang w:val="e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14"/>
    <w:rsid w:val="00007BA7"/>
    <w:rsid w:val="000241E2"/>
    <w:rsid w:val="0005037A"/>
    <w:rsid w:val="00072A8E"/>
    <w:rsid w:val="00077242"/>
    <w:rsid w:val="0008344C"/>
    <w:rsid w:val="000B3687"/>
    <w:rsid w:val="001004CB"/>
    <w:rsid w:val="00124B80"/>
    <w:rsid w:val="00141B44"/>
    <w:rsid w:val="001633E3"/>
    <w:rsid w:val="00165D0C"/>
    <w:rsid w:val="0017399F"/>
    <w:rsid w:val="001847D7"/>
    <w:rsid w:val="00185948"/>
    <w:rsid w:val="001B3BD2"/>
    <w:rsid w:val="001C54F4"/>
    <w:rsid w:val="001F448E"/>
    <w:rsid w:val="001F5BF2"/>
    <w:rsid w:val="0020557B"/>
    <w:rsid w:val="002221D5"/>
    <w:rsid w:val="002258DF"/>
    <w:rsid w:val="0026508D"/>
    <w:rsid w:val="0027204B"/>
    <w:rsid w:val="00294957"/>
    <w:rsid w:val="002A6FEA"/>
    <w:rsid w:val="002E35AF"/>
    <w:rsid w:val="002F14E4"/>
    <w:rsid w:val="00344B88"/>
    <w:rsid w:val="00353410"/>
    <w:rsid w:val="003745CD"/>
    <w:rsid w:val="00381944"/>
    <w:rsid w:val="00394A43"/>
    <w:rsid w:val="003A3DC6"/>
    <w:rsid w:val="003C0EEF"/>
    <w:rsid w:val="003D567B"/>
    <w:rsid w:val="00406550"/>
    <w:rsid w:val="004912E7"/>
    <w:rsid w:val="00492E78"/>
    <w:rsid w:val="004952A3"/>
    <w:rsid w:val="004978C9"/>
    <w:rsid w:val="004B0738"/>
    <w:rsid w:val="004C209A"/>
    <w:rsid w:val="004E683D"/>
    <w:rsid w:val="0052748D"/>
    <w:rsid w:val="00547672"/>
    <w:rsid w:val="00585270"/>
    <w:rsid w:val="005A357B"/>
    <w:rsid w:val="005B17F8"/>
    <w:rsid w:val="005E2B61"/>
    <w:rsid w:val="005E535A"/>
    <w:rsid w:val="00604CCF"/>
    <w:rsid w:val="00650FCA"/>
    <w:rsid w:val="006C0B1D"/>
    <w:rsid w:val="006E5C02"/>
    <w:rsid w:val="006F3EEF"/>
    <w:rsid w:val="006F5E22"/>
    <w:rsid w:val="00704E89"/>
    <w:rsid w:val="007A10D9"/>
    <w:rsid w:val="007A6879"/>
    <w:rsid w:val="007B1BD3"/>
    <w:rsid w:val="007D6E5F"/>
    <w:rsid w:val="007F42A0"/>
    <w:rsid w:val="007F67E1"/>
    <w:rsid w:val="0081410D"/>
    <w:rsid w:val="00824084"/>
    <w:rsid w:val="008978E1"/>
    <w:rsid w:val="008B2507"/>
    <w:rsid w:val="008F099A"/>
    <w:rsid w:val="008F4CC9"/>
    <w:rsid w:val="008F6F5E"/>
    <w:rsid w:val="009128DC"/>
    <w:rsid w:val="00915114"/>
    <w:rsid w:val="009A2E49"/>
    <w:rsid w:val="009A7ECD"/>
    <w:rsid w:val="009B5278"/>
    <w:rsid w:val="009E3BA6"/>
    <w:rsid w:val="009F59A9"/>
    <w:rsid w:val="00A04AB2"/>
    <w:rsid w:val="00A25410"/>
    <w:rsid w:val="00A62259"/>
    <w:rsid w:val="00A62A32"/>
    <w:rsid w:val="00A97744"/>
    <w:rsid w:val="00AB4D33"/>
    <w:rsid w:val="00AB710A"/>
    <w:rsid w:val="00AD2A2F"/>
    <w:rsid w:val="00AD5E13"/>
    <w:rsid w:val="00B108E1"/>
    <w:rsid w:val="00B1235C"/>
    <w:rsid w:val="00B15B23"/>
    <w:rsid w:val="00B1750A"/>
    <w:rsid w:val="00B3531F"/>
    <w:rsid w:val="00B43690"/>
    <w:rsid w:val="00B85427"/>
    <w:rsid w:val="00B93590"/>
    <w:rsid w:val="00BC07BA"/>
    <w:rsid w:val="00BD61BA"/>
    <w:rsid w:val="00C1345F"/>
    <w:rsid w:val="00C141D1"/>
    <w:rsid w:val="00C15A60"/>
    <w:rsid w:val="00C23F3E"/>
    <w:rsid w:val="00C37F0A"/>
    <w:rsid w:val="00C43E46"/>
    <w:rsid w:val="00CD40AB"/>
    <w:rsid w:val="00CE347C"/>
    <w:rsid w:val="00CF2FDB"/>
    <w:rsid w:val="00CF3D05"/>
    <w:rsid w:val="00D038ED"/>
    <w:rsid w:val="00D06890"/>
    <w:rsid w:val="00D266A3"/>
    <w:rsid w:val="00D52FF6"/>
    <w:rsid w:val="00D7637A"/>
    <w:rsid w:val="00DA1E8E"/>
    <w:rsid w:val="00E10B58"/>
    <w:rsid w:val="00E62B14"/>
    <w:rsid w:val="00EE067D"/>
    <w:rsid w:val="00F1294F"/>
    <w:rsid w:val="00F25706"/>
    <w:rsid w:val="00F5320F"/>
    <w:rsid w:val="00F711EB"/>
    <w:rsid w:val="00F8249A"/>
    <w:rsid w:val="00F92CF2"/>
    <w:rsid w:val="00FD5E4B"/>
    <w:rsid w:val="00FD62A6"/>
    <w:rsid w:val="00FE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4E774"/>
  <w15:chartTrackingRefBased/>
  <w15:docId w15:val="{AC6C490C-9B1C-4906-9CC7-264A869C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114"/>
    <w:pPr>
      <w:pBdr>
        <w:bottom w:val="single" w:sz="6" w:space="1" w:color="auto"/>
      </w:pBdr>
      <w:tabs>
        <w:tab w:val="center" w:pos="4153"/>
        <w:tab w:val="right" w:pos="8306"/>
      </w:tabs>
      <w:snapToGrid w:val="0"/>
      <w:jc w:val="center"/>
    </w:pPr>
    <w:rPr>
      <w:sz w:val="18"/>
      <w:szCs w:val="18"/>
      <w:lang w:val="en"/>
    </w:rPr>
  </w:style>
  <w:style w:type="character" w:customStyle="1" w:styleId="a5">
    <w:name w:val="页眉 字符"/>
    <w:basedOn w:val="a0"/>
    <w:link w:val="a4"/>
    <w:uiPriority w:val="99"/>
    <w:rsid w:val="00915114"/>
    <w:rPr>
      <w:sz w:val="18"/>
      <w:szCs w:val="18"/>
      <w:lang w:val="en"/>
    </w:rPr>
  </w:style>
  <w:style w:type="table" w:customStyle="1" w:styleId="g1">
    <w:name w:val="g1"/>
    <w:uiPriority w:val="99"/>
    <w:semiHidden/>
    <w:unhideWhenUsed/>
    <w:rsid w:val="00915114"/>
    <w:rPr>
      <w:rFonts w:ascii="Calibri" w:eastAsia="宋体" w:hAnsi="Calibri" w:cs="Times New Roman"/>
      <w:kern w:val="0"/>
      <w:sz w:val="20"/>
      <w:szCs w:val="20"/>
      <w:lang w:val="en"/>
    </w:rPr>
    <w:tblPr>
      <w:tblInd w:w="0" w:type="dxa"/>
      <w:tblCellMar>
        <w:top w:w="0" w:type="dxa"/>
        <w:left w:w="108" w:type="dxa"/>
        <w:bottom w:w="0" w:type="dxa"/>
        <w:right w:w="108" w:type="dxa"/>
      </w:tblCellMar>
    </w:tblPr>
  </w:style>
  <w:style w:type="table" w:customStyle="1" w:styleId="1">
    <w:name w:val="网格型1"/>
    <w:basedOn w:val="a1"/>
    <w:next w:val="a3"/>
    <w:uiPriority w:val="59"/>
    <w:rsid w:val="00915114"/>
    <w:pPr>
      <w:widowControl w:val="0"/>
      <w:jc w:val="both"/>
    </w:pPr>
    <w:rPr>
      <w:rFonts w:ascii="Times New Roman" w:eastAsia="宋体" w:hAnsi="Times New Roman" w:cs="Times New Roman"/>
      <w:kern w:val="0"/>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114"/>
    <w:rPr>
      <w:sz w:val="18"/>
      <w:szCs w:val="18"/>
    </w:rPr>
  </w:style>
  <w:style w:type="character" w:customStyle="1" w:styleId="a7">
    <w:name w:val="批注框文本 字符"/>
    <w:basedOn w:val="a0"/>
    <w:link w:val="a6"/>
    <w:uiPriority w:val="99"/>
    <w:semiHidden/>
    <w:rsid w:val="00915114"/>
    <w:rPr>
      <w:sz w:val="18"/>
      <w:szCs w:val="18"/>
    </w:rPr>
  </w:style>
  <w:style w:type="paragraph" w:styleId="a8">
    <w:name w:val="List Paragraph"/>
    <w:basedOn w:val="a"/>
    <w:uiPriority w:val="34"/>
    <w:qFormat/>
    <w:rsid w:val="00141B44"/>
    <w:pPr>
      <w:ind w:firstLineChars="200" w:firstLine="420"/>
    </w:pPr>
  </w:style>
  <w:style w:type="paragraph" w:styleId="a9">
    <w:name w:val="footer"/>
    <w:basedOn w:val="a"/>
    <w:link w:val="aa"/>
    <w:uiPriority w:val="99"/>
    <w:unhideWhenUsed/>
    <w:rsid w:val="00A62A32"/>
    <w:pPr>
      <w:tabs>
        <w:tab w:val="center" w:pos="4153"/>
        <w:tab w:val="right" w:pos="8306"/>
      </w:tabs>
      <w:snapToGrid w:val="0"/>
      <w:jc w:val="left"/>
    </w:pPr>
    <w:rPr>
      <w:sz w:val="18"/>
      <w:szCs w:val="18"/>
    </w:rPr>
  </w:style>
  <w:style w:type="character" w:customStyle="1" w:styleId="aa">
    <w:name w:val="页脚 字符"/>
    <w:basedOn w:val="a0"/>
    <w:link w:val="a9"/>
    <w:uiPriority w:val="99"/>
    <w:rsid w:val="00A62A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6336">
      <w:bodyDiv w:val="1"/>
      <w:marLeft w:val="0"/>
      <w:marRight w:val="0"/>
      <w:marTop w:val="0"/>
      <w:marBottom w:val="0"/>
      <w:divBdr>
        <w:top w:val="none" w:sz="0" w:space="0" w:color="auto"/>
        <w:left w:val="none" w:sz="0" w:space="0" w:color="auto"/>
        <w:bottom w:val="none" w:sz="0" w:space="0" w:color="auto"/>
        <w:right w:val="none" w:sz="0" w:space="0" w:color="auto"/>
      </w:divBdr>
      <w:divsChild>
        <w:div w:id="106853364">
          <w:marLeft w:val="0"/>
          <w:marRight w:val="0"/>
          <w:marTop w:val="0"/>
          <w:marBottom w:val="0"/>
          <w:divBdr>
            <w:top w:val="single" w:sz="2" w:space="0" w:color="E3E3E3"/>
            <w:left w:val="single" w:sz="2" w:space="0" w:color="E3E3E3"/>
            <w:bottom w:val="single" w:sz="2" w:space="0" w:color="E3E3E3"/>
            <w:right w:val="single" w:sz="2" w:space="0" w:color="E3E3E3"/>
          </w:divBdr>
          <w:divsChild>
            <w:div w:id="1098864583">
              <w:marLeft w:val="0"/>
              <w:marRight w:val="0"/>
              <w:marTop w:val="0"/>
              <w:marBottom w:val="0"/>
              <w:divBdr>
                <w:top w:val="single" w:sz="2" w:space="0" w:color="E3E3E3"/>
                <w:left w:val="single" w:sz="2" w:space="0" w:color="E3E3E3"/>
                <w:bottom w:val="single" w:sz="2" w:space="0" w:color="E3E3E3"/>
                <w:right w:val="single" w:sz="2" w:space="0" w:color="E3E3E3"/>
              </w:divBdr>
              <w:divsChild>
                <w:div w:id="1857111340">
                  <w:marLeft w:val="0"/>
                  <w:marRight w:val="0"/>
                  <w:marTop w:val="0"/>
                  <w:marBottom w:val="0"/>
                  <w:divBdr>
                    <w:top w:val="single" w:sz="2" w:space="0" w:color="E3E3E3"/>
                    <w:left w:val="single" w:sz="2" w:space="0" w:color="E3E3E3"/>
                    <w:bottom w:val="single" w:sz="2" w:space="0" w:color="E3E3E3"/>
                    <w:right w:val="single" w:sz="2" w:space="0" w:color="E3E3E3"/>
                  </w:divBdr>
                  <w:divsChild>
                    <w:div w:id="22098417">
                      <w:marLeft w:val="0"/>
                      <w:marRight w:val="0"/>
                      <w:marTop w:val="0"/>
                      <w:marBottom w:val="0"/>
                      <w:divBdr>
                        <w:top w:val="single" w:sz="2" w:space="0" w:color="E3E3E3"/>
                        <w:left w:val="single" w:sz="2" w:space="0" w:color="E3E3E3"/>
                        <w:bottom w:val="single" w:sz="2" w:space="0" w:color="E3E3E3"/>
                        <w:right w:val="single" w:sz="2" w:space="0" w:color="E3E3E3"/>
                      </w:divBdr>
                      <w:divsChild>
                        <w:div w:id="1626815128">
                          <w:marLeft w:val="0"/>
                          <w:marRight w:val="0"/>
                          <w:marTop w:val="0"/>
                          <w:marBottom w:val="0"/>
                          <w:divBdr>
                            <w:top w:val="single" w:sz="2" w:space="0" w:color="E3E3E3"/>
                            <w:left w:val="single" w:sz="2" w:space="0" w:color="E3E3E3"/>
                            <w:bottom w:val="single" w:sz="2" w:space="0" w:color="E3E3E3"/>
                            <w:right w:val="single" w:sz="2" w:space="0" w:color="E3E3E3"/>
                          </w:divBdr>
                          <w:divsChild>
                            <w:div w:id="304893923">
                              <w:marLeft w:val="0"/>
                              <w:marRight w:val="0"/>
                              <w:marTop w:val="0"/>
                              <w:marBottom w:val="0"/>
                              <w:divBdr>
                                <w:top w:val="single" w:sz="2" w:space="0" w:color="E3E3E3"/>
                                <w:left w:val="single" w:sz="2" w:space="0" w:color="E3E3E3"/>
                                <w:bottom w:val="single" w:sz="2" w:space="0" w:color="E3E3E3"/>
                                <w:right w:val="single" w:sz="2" w:space="0" w:color="E3E3E3"/>
                              </w:divBdr>
                              <w:divsChild>
                                <w:div w:id="1886483431">
                                  <w:marLeft w:val="0"/>
                                  <w:marRight w:val="0"/>
                                  <w:marTop w:val="100"/>
                                  <w:marBottom w:val="100"/>
                                  <w:divBdr>
                                    <w:top w:val="single" w:sz="2" w:space="0" w:color="E3E3E3"/>
                                    <w:left w:val="single" w:sz="2" w:space="0" w:color="E3E3E3"/>
                                    <w:bottom w:val="single" w:sz="2" w:space="0" w:color="E3E3E3"/>
                                    <w:right w:val="single" w:sz="2" w:space="0" w:color="E3E3E3"/>
                                  </w:divBdr>
                                  <w:divsChild>
                                    <w:div w:id="78714714">
                                      <w:marLeft w:val="0"/>
                                      <w:marRight w:val="0"/>
                                      <w:marTop w:val="0"/>
                                      <w:marBottom w:val="0"/>
                                      <w:divBdr>
                                        <w:top w:val="single" w:sz="2" w:space="0" w:color="E3E3E3"/>
                                        <w:left w:val="single" w:sz="2" w:space="0" w:color="E3E3E3"/>
                                        <w:bottom w:val="single" w:sz="2" w:space="0" w:color="E3E3E3"/>
                                        <w:right w:val="single" w:sz="2" w:space="0" w:color="E3E3E3"/>
                                      </w:divBdr>
                                      <w:divsChild>
                                        <w:div w:id="1394309916">
                                          <w:marLeft w:val="0"/>
                                          <w:marRight w:val="0"/>
                                          <w:marTop w:val="0"/>
                                          <w:marBottom w:val="0"/>
                                          <w:divBdr>
                                            <w:top w:val="single" w:sz="2" w:space="0" w:color="E3E3E3"/>
                                            <w:left w:val="single" w:sz="2" w:space="0" w:color="E3E3E3"/>
                                            <w:bottom w:val="single" w:sz="2" w:space="0" w:color="E3E3E3"/>
                                            <w:right w:val="single" w:sz="2" w:space="0" w:color="E3E3E3"/>
                                          </w:divBdr>
                                          <w:divsChild>
                                            <w:div w:id="991182217">
                                              <w:marLeft w:val="0"/>
                                              <w:marRight w:val="0"/>
                                              <w:marTop w:val="0"/>
                                              <w:marBottom w:val="0"/>
                                              <w:divBdr>
                                                <w:top w:val="single" w:sz="2" w:space="0" w:color="E3E3E3"/>
                                                <w:left w:val="single" w:sz="2" w:space="0" w:color="E3E3E3"/>
                                                <w:bottom w:val="single" w:sz="2" w:space="0" w:color="E3E3E3"/>
                                                <w:right w:val="single" w:sz="2" w:space="0" w:color="E3E3E3"/>
                                              </w:divBdr>
                                              <w:divsChild>
                                                <w:div w:id="349532480">
                                                  <w:marLeft w:val="0"/>
                                                  <w:marRight w:val="0"/>
                                                  <w:marTop w:val="0"/>
                                                  <w:marBottom w:val="0"/>
                                                  <w:divBdr>
                                                    <w:top w:val="single" w:sz="2" w:space="0" w:color="E3E3E3"/>
                                                    <w:left w:val="single" w:sz="2" w:space="0" w:color="E3E3E3"/>
                                                    <w:bottom w:val="single" w:sz="2" w:space="0" w:color="E3E3E3"/>
                                                    <w:right w:val="single" w:sz="2" w:space="0" w:color="E3E3E3"/>
                                                  </w:divBdr>
                                                  <w:divsChild>
                                                    <w:div w:id="44452549">
                                                      <w:marLeft w:val="0"/>
                                                      <w:marRight w:val="0"/>
                                                      <w:marTop w:val="0"/>
                                                      <w:marBottom w:val="0"/>
                                                      <w:divBdr>
                                                        <w:top w:val="single" w:sz="2" w:space="0" w:color="E3E3E3"/>
                                                        <w:left w:val="single" w:sz="2" w:space="0" w:color="E3E3E3"/>
                                                        <w:bottom w:val="single" w:sz="2" w:space="0" w:color="E3E3E3"/>
                                                        <w:right w:val="single" w:sz="2" w:space="0" w:color="E3E3E3"/>
                                                      </w:divBdr>
                                                      <w:divsChild>
                                                        <w:div w:id="1253395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983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9</Pages>
  <Words>3566</Words>
  <Characters>20327</Characters>
  <Application>Microsoft Office Word</Application>
  <DocSecurity>0</DocSecurity>
  <Lines>169</Lines>
  <Paragraphs>47</Paragraphs>
  <ScaleCrop>false</ScaleCrop>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余浩</dc:creator>
  <cp:keywords/>
  <dc:description/>
  <cp:lastModifiedBy>余浩</cp:lastModifiedBy>
  <cp:revision>18</cp:revision>
  <dcterms:created xsi:type="dcterms:W3CDTF">2024-04-23T02:47:00Z</dcterms:created>
  <dcterms:modified xsi:type="dcterms:W3CDTF">2024-05-14T01:57:00Z</dcterms:modified>
</cp:coreProperties>
</file>